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Netherlands</w:t>
      </w:r>
      <w:r>
        <w:t xml:space="preserve"> </w:t>
      </w:r>
      <w:r>
        <w:t xml:space="preserve">Amsterdam</w:t>
      </w:r>
    </w:p>
    <w:bookmarkStart w:id="28" w:name="Xcf2c16dbb04f0fdde8d678b425039d33a9372e7"/>
    <w:p>
      <w:pPr>
        <w:pStyle w:val="Heading1"/>
      </w:pPr>
      <w:r>
        <w:t xml:space="preserve">Research Proposal: Advancing Sustainable Urban Mobility Frameworks for a Resilient Netherlands Amsterdam</w:t>
      </w:r>
    </w:p>
    <w:bookmarkStart w:id="20" w:name="X3c4d433c9ec6bb0ae5a16c64227f3d2eda848f5"/>
    <w:p>
      <w:pPr>
        <w:pStyle w:val="Heading2"/>
      </w:pPr>
      <w:r>
        <w:t xml:space="preserve">Introduction: Contextualizing Academic Research in Amsterdam</w:t>
      </w:r>
    </w:p>
    <w:p>
      <w:pPr>
        <w:pStyle w:val="FirstParagraph"/>
      </w:pPr>
      <w:r>
        <w:t xml:space="preserve">The Netherlands, particularly the city of Amsterdam, stands as a global exemplar for urban sustainability and innovative research ecosystems. As an aspiring</w:t>
      </w:r>
      <w:r>
        <w:t xml:space="preserve"> </w:t>
      </w:r>
      <w:r>
        <w:rPr>
          <w:iCs/>
          <w:i/>
        </w:rPr>
        <w:t xml:space="preserve">Academic Researcher</w:t>
      </w:r>
      <w:r>
        <w:t xml:space="preserve">, I propose this interdisciplinary study to address critical gaps in sustainable mobility systems within the context of Netherlands Amsterdam. The city’s commitment to carbon neutrality by 2030 and its status as a UNESCO Creative City of Music make it an ideal living laboratory for transdisciplinary research. This</w:t>
      </w:r>
      <w:r>
        <w:t xml:space="preserve"> </w:t>
      </w:r>
      <w:r>
        <w:rPr>
          <w:iCs/>
          <w:i/>
        </w:rPr>
        <w:t xml:space="preserve">Research Proposal</w:t>
      </w:r>
      <w:r>
        <w:t xml:space="preserve"> </w:t>
      </w:r>
      <w:r>
        <w:t xml:space="preserve">outlines a three-year investigation into equitable, data-driven mobility solutions that align with the Netherlands' national sustainability agenda while addressing Amsterdam’s unique urban challenges. The Netherlands' world-class academic infrastructure—from the University of Amsterdam’s Institute for Biodiversity and Ecosystem Dynamics to Vrije Universiteit Amsterdam's Smart Mobility Lab—provides an unparalleled foundation for this work.</w:t>
      </w:r>
    </w:p>
    <w:bookmarkEnd w:id="20"/>
    <w:bookmarkStart w:id="21" w:name="research-problem-and-significance"/>
    <w:p>
      <w:pPr>
        <w:pStyle w:val="Heading2"/>
      </w:pPr>
      <w:r>
        <w:t xml:space="preserve">Research Problem and Significance</w:t>
      </w:r>
    </w:p>
    <w:p>
      <w:pPr>
        <w:pStyle w:val="FirstParagraph"/>
      </w:pPr>
      <w:r>
        <w:t xml:space="preserve">Amsterdam faces mounting pressure as its population grows by 1.5% annually, straining existing mobility networks. Current solutions prioritize efficiency over equity, marginalizing low-income neighborhoods where public transit access remains limited (Van der Wal et al., 2023). Simultaneously, the Netherlands' national policy framework (National Transport Vision 2030) demands transformative change that integrates environmental goals with social inclusion—a gap my research directly addresses. As an</w:t>
      </w:r>
      <w:r>
        <w:t xml:space="preserve"> </w:t>
      </w:r>
      <w:r>
        <w:rPr>
          <w:iCs/>
          <w:i/>
        </w:rPr>
        <w:t xml:space="preserve">Academic Researcher</w:t>
      </w:r>
      <w:r>
        <w:t xml:space="preserve"> </w:t>
      </w:r>
      <w:r>
        <w:t xml:space="preserve">embedded in Amsterdam’s academic milieu, I will investigate how AI-optimized transit routing can simultaneously reduce emissions by 25% and improve accessibility for 40% of underserved communities within five years. This work responds to the Dutch government's "Climate Agreement" priorities while advancing Amsterdam’s Smart City Initiative—making it critically relevant to both local governance and international urban scholarship.</w:t>
      </w:r>
    </w:p>
    <w:bookmarkEnd w:id="21"/>
    <w:bookmarkStart w:id="22" w:name="X23266264ee333d48109ca554fe2553834dad013"/>
    <w:p>
      <w:pPr>
        <w:pStyle w:val="Heading2"/>
      </w:pPr>
      <w:r>
        <w:t xml:space="preserve">Literature Review: Bridging Gaps in Mobility Research</w:t>
      </w:r>
    </w:p>
    <w:p>
      <w:pPr>
        <w:pStyle w:val="FirstParagraph"/>
      </w:pPr>
      <w:r>
        <w:t xml:space="preserve">Existing studies on urban mobility (e.g., Dijst &amp; Schwanen, 2018) focus heavily on technological efficiency in Western contexts but neglect the social dynamics of Dutch cities. The Netherlands’ unique cycling infrastructure has been extensively analyzed (Pucher &amp; Buehler, 2017), yet no research integrates real-time AI analytics with socioeconomic equity metrics at Amsterdam’s hyperlocal scale. My project builds on this by synthesizing three underdeveloped strands: (1) behavioral economics of transport choices in multicultural urban settings; (2) data fusion techniques from the Netherlands’ open mobility datasets (e.g., City Data Platform); and (3) participatory action research methodologies validated in Dutch community contexts. This synthesis positions the</w:t>
      </w:r>
      <w:r>
        <w:t xml:space="preserve"> </w:t>
      </w:r>
      <w:r>
        <w:rPr>
          <w:iCs/>
          <w:i/>
        </w:rPr>
        <w:t xml:space="preserve">Research Proposal</w:t>
      </w:r>
      <w:r>
        <w:t xml:space="preserve"> </w:t>
      </w:r>
      <w:r>
        <w:t xml:space="preserve">at the vanguard of sustainable mobility scholarship, directly contributing to Amsterdam’s ambition as a model for global cities.</w:t>
      </w:r>
    </w:p>
    <w:bookmarkEnd w:id="22"/>
    <w:bookmarkStart w:id="23" w:name="X59d80c4e6b3544c71af1c43568631e3504a799a"/>
    <w:p>
      <w:pPr>
        <w:pStyle w:val="Heading2"/>
      </w:pPr>
      <w:r>
        <w:t xml:space="preserve">Methodology: A Netherlands-Embedded Approach</w:t>
      </w:r>
    </w:p>
    <w:p>
      <w:pPr>
        <w:pStyle w:val="FirstParagraph"/>
      </w:pPr>
      <w:r>
        <w:t xml:space="preserve">This mixed-methods study employs a 3-phase approach uniquely tailored to Netherlands Amsterdam’s academic and urban fabric:</w:t>
      </w:r>
    </w:p>
    <w:p>
      <w:pPr>
        <w:numPr>
          <w:ilvl w:val="0"/>
          <w:numId w:val="1001"/>
        </w:numPr>
        <w:pStyle w:val="Compact"/>
      </w:pPr>
      <w:r>
        <w:rPr>
          <w:bCs/>
          <w:b/>
        </w:rPr>
        <w:t xml:space="preserve">Phase 1 (Months 1-12):</w:t>
      </w:r>
      <w:r>
        <w:t xml:space="preserve"> </w:t>
      </w:r>
      <w:r>
        <w:t xml:space="preserve">Collaborative data mapping with Amsterdam municipality’s Urban Data Lab, analyzing anonymized mobility patterns from OV-fiets (public bike) usage, tram sensors, and census data. This leverages the Netherlands’ pioneering open-data policies while ensuring GDPR compliance.</w:t>
      </w:r>
    </w:p>
    <w:p>
      <w:pPr>
        <w:numPr>
          <w:ilvl w:val="0"/>
          <w:numId w:val="1001"/>
        </w:numPr>
        <w:pStyle w:val="Compact"/>
      </w:pPr>
      <w:r>
        <w:rPr>
          <w:bCs/>
          <w:b/>
        </w:rPr>
        <w:t xml:space="preserve">Phase 2 (Months 13-24):</w:t>
      </w:r>
      <w:r>
        <w:t xml:space="preserve"> </w:t>
      </w:r>
      <w:r>
        <w:t xml:space="preserve">Co-design workshops with Amsterdam community councils (e.g., Nieuw-West’s Mobility Working Group) to develop equity-centered mobility algorithms. This participatory approach aligns with the Netherlands’ "Citizen Science" framework and addresses Amsterdam’s specific needs for inclusive urban planning.</w:t>
      </w:r>
    </w:p>
    <w:p>
      <w:pPr>
        <w:numPr>
          <w:ilvl w:val="0"/>
          <w:numId w:val="1001"/>
        </w:numPr>
        <w:pStyle w:val="Compact"/>
      </w:pPr>
      <w:r>
        <w:rPr>
          <w:bCs/>
          <w:b/>
        </w:rPr>
        <w:t xml:space="preserve">Phase 3 (Months 25-36):</w:t>
      </w:r>
      <w:r>
        <w:t xml:space="preserve"> </w:t>
      </w:r>
      <w:r>
        <w:t xml:space="preserve">AI-driven simulation modeling using UvA's High-Performance Computing Cluster, testing interventions in a digital twin of Amsterdam. Outcomes will be validated through pilot implementations with GVB (Amsterdam’s public transport operator).</w:t>
      </w:r>
    </w:p>
    <w:p>
      <w:pPr>
        <w:pStyle w:val="FirstParagraph"/>
      </w:pPr>
      <w:r>
        <w:t xml:space="preserve">The methodology intentionally centers on Netherlands Amsterdam by utilizing local institutional partnerships and Dutch policy datasets—ensuring immediate applicability to the city’s sustainability goals while generating globally transferable insights.</w:t>
      </w:r>
    </w:p>
    <w:bookmarkEnd w:id="23"/>
    <w:bookmarkStart w:id="24" w:name="expected-outcomes-and-impact"/>
    <w:p>
      <w:pPr>
        <w:pStyle w:val="Heading2"/>
      </w:pPr>
      <w:r>
        <w:t xml:space="preserve">Expected Outcomes and Impact</w:t>
      </w:r>
    </w:p>
    <w:p>
      <w:pPr>
        <w:pStyle w:val="FirstParagraph"/>
      </w:pPr>
      <w:r>
        <w:t xml:space="preserve">As an</w:t>
      </w:r>
      <w:r>
        <w:t xml:space="preserve"> </w:t>
      </w:r>
      <w:r>
        <w:rPr>
          <w:iCs/>
          <w:i/>
        </w:rPr>
        <w:t xml:space="preserve">Academic Researcher</w:t>
      </w:r>
      <w:r>
        <w:t xml:space="preserve">, I anticipate producing four transformative deliverables:</w:t>
      </w:r>
    </w:p>
    <w:p>
      <w:pPr>
        <w:numPr>
          <w:ilvl w:val="0"/>
          <w:numId w:val="1002"/>
        </w:numPr>
        <w:pStyle w:val="Compact"/>
      </w:pPr>
      <w:r>
        <w:t xml:space="preserve">A publicly accessible "Mobility Equity Index" for Amsterdam neighborhoods, directly informing municipal policy.</w:t>
      </w:r>
    </w:p>
    <w:p>
      <w:pPr>
        <w:numPr>
          <w:ilvl w:val="0"/>
          <w:numId w:val="1002"/>
        </w:numPr>
        <w:pStyle w:val="Compact"/>
      </w:pPr>
      <w:r>
        <w:t xml:space="preserve">A scalable AI framework adopted by the Netherlands’ National Institute for Public Health (RIVM) for urban mobility planning.</w:t>
      </w:r>
    </w:p>
    <w:p>
      <w:pPr>
        <w:numPr>
          <w:ilvl w:val="0"/>
          <w:numId w:val="1002"/>
        </w:numPr>
        <w:pStyle w:val="Compact"/>
      </w:pPr>
      <w:r>
        <w:t xml:space="preserve">Five peer-reviewed publications in top-tier journals (e.g., Transportation Research Part D: Transport and Environment), positioning Amsterdam as a research hub.</w:t>
      </w:r>
    </w:p>
    <w:p>
      <w:pPr>
        <w:numPr>
          <w:ilvl w:val="0"/>
          <w:numId w:val="1002"/>
        </w:numPr>
        <w:pStyle w:val="Compact"/>
      </w:pPr>
      <w:r>
        <w:t xml:space="preserve">Training programs for 50+ Amsterdam-based urban planners via the University of Amsterdam’s Continuing Education program, enhancing local capacity building.</w:t>
      </w:r>
    </w:p>
    <w:p>
      <w:pPr>
        <w:pStyle w:val="FirstParagraph"/>
      </w:pPr>
      <w:r>
        <w:t xml:space="preserve">The ultimate impact transcends academia: This research will directly support the Netherlands’ goal to reduce transport emissions by 32% by 2030 (Netherlands Environmental Assessment Agency, 2021). By demonstrating how data-driven equity frameworks can accelerate sustainable transitions, the project establishes a blueprint for other cities in the Netherlands Amsterdam ecosystem—from Rotterdam’s port logistics to Utrecht’s cycling corridors.</w:t>
      </w:r>
    </w:p>
    <w:bookmarkEnd w:id="24"/>
    <w:bookmarkStart w:id="25" w:name="timeline-and-resource-integration"/>
    <w:p>
      <w:pPr>
        <w:pStyle w:val="Heading2"/>
      </w:pPr>
      <w:r>
        <w:t xml:space="preserve">Timeline and Resource Integration</w:t>
      </w:r>
    </w:p>
    <w:p>
      <w:pPr>
        <w:pStyle w:val="FirstParagraph"/>
      </w:pPr>
      <w:r>
        <w:t xml:space="preserve">The proposed schedule strategically aligns with Netherlands academic cycles:</w:t>
      </w:r>
    </w:p>
    <w:p>
      <w:pPr>
        <w:pStyle w:val="BodyText"/>
      </w:pPr>
      <w:r>
        <w:t xml:space="preserve">Year</w:t>
      </w:r>
    </w:p>
    <w:p>
      <w:pPr>
        <w:pStyle w:val="BodyText"/>
      </w:pPr>
      <w:r>
        <w:t xml:space="preserve">Key Activities</w:t>
      </w:r>
    </w:p>
    <w:p>
      <w:pPr>
        <w:pStyle w:val="BodyText"/>
      </w:pPr>
      <w:r>
        <w:t xml:space="preserve">Netherlands Amsterdam Alignment</w:t>
      </w:r>
    </w:p>
    <w:p>
      <w:pPr>
        <w:pStyle w:val="BodyText"/>
      </w:pPr>
      <w:r>
        <w:t xml:space="preserve">Year 1</w:t>
      </w:r>
    </w:p>
    <w:p>
      <w:pPr>
        <w:pStyle w:val="BodyText"/>
      </w:pPr>
      <w:r>
        <w:t xml:space="preserve">Data integration, community co-creation workshops, literature synthesis.</w:t>
      </w:r>
    </w:p>
    <w:p>
      <w:pPr>
        <w:pStyle w:val="BodyText"/>
      </w:pPr>
      <w:r>
        <w:t xml:space="preserve">Leverages UvA/VU partnerships; aligns with Amsterdam’s "Smart City" funding round (Q3 2024).</w:t>
      </w:r>
    </w:p>
    <w:p>
      <w:pPr>
        <w:pStyle w:val="BodyText"/>
      </w:pPr>
      <w:r>
        <w:t xml:space="preserve">Year 2</w:t>
      </w:r>
    </w:p>
    <w:p>
      <w:pPr>
        <w:pStyle w:val="BodyText"/>
      </w:pPr>
      <w:r>
        <w:t xml:space="preserve">Algorithm development, pilot simulations, policy briefings for City of Amsterdam.</w:t>
      </w:r>
    </w:p>
    <w:p>
      <w:pPr>
        <w:pStyle w:val="BodyText"/>
      </w:pPr>
      <w:r>
        <w:t xml:space="preserve">Year 3</w:t>
      </w:r>
    </w:p>
    <w:p>
      <w:pPr>
        <w:pStyle w:val="BodyText"/>
      </w:pPr>
      <w:r>
        <w:t xml:space="preserve">Scalability analysis, knowledge transfer events, publication finalization.</w:t>
      </w:r>
    </w:p>
    <w:p>
      <w:pPr>
        <w:pStyle w:val="BodyText"/>
      </w:pPr>
      <w:r>
        <w:t xml:space="preserve">Demonstrates ROI for Dutch Ministry of Infrastructure investments in smart mobility.</w:t>
      </w:r>
    </w:p>
    <w:bookmarkEnd w:id="25"/>
    <w:bookmarkStart w:id="27" w:name="conclusion-why-netherlands-amsterdam"/>
    <w:p>
      <w:pPr>
        <w:pStyle w:val="Heading2"/>
      </w:pPr>
      <w:r>
        <w:t xml:space="preserve">Conclusion: Why Netherlands Amsterdam?</w:t>
      </w:r>
    </w:p>
    <w:p>
      <w:pPr>
        <w:pStyle w:val="FirstParagraph"/>
      </w:pPr>
      <w:r>
        <w:t xml:space="preserve">This</w:t>
      </w:r>
      <w:r>
        <w:t xml:space="preserve"> </w:t>
      </w:r>
      <w:r>
        <w:rPr>
          <w:iCs/>
          <w:i/>
        </w:rPr>
        <w:t xml:space="preserve">Research Proposal</w:t>
      </w:r>
      <w:r>
        <w:t xml:space="preserve"> </w:t>
      </w:r>
      <w:r>
        <w:t xml:space="preserve">embodies the symbiotic relationship between academic rigor and civic impact that defines the Netherlands Amsterdam research landscape. As an</w:t>
      </w:r>
      <w:r>
        <w:t xml:space="preserve"> </w:t>
      </w:r>
      <w:r>
        <w:rPr>
          <w:iCs/>
          <w:i/>
        </w:rPr>
        <w:t xml:space="preserve">Academic Researcher</w:t>
      </w:r>
      <w:r>
        <w:t xml:space="preserve">, I am uniquely positioned to bridge university scholarship with on-the-ground urban challenges through institutional partnerships like those with AMS Institute and City of Amsterdam’s Innovation Office. The project’s emphasis on equity mirrors the Netherlands’ national values while addressing a critical need in one of Europe’s most densely populated, culturally diverse cities. By embedding this research within Amsterdam’s innovation ecosystem—where academia, government, and civil society collaborate through platforms like the Dutch Urban Living Lab Network—I ensure it transcends theoretical inquiry to drive tangible change. This work will not only advance global mobility science but also cement the Netherlands’ leadership in sustainable urban futures, proving that Amsterdam remains at the heart of 21st-century academic research innovation.</w:t>
      </w:r>
    </w:p>
    <w:bookmarkStart w:id="26" w:name="references"/>
    <w:p>
      <w:pPr>
        <w:pStyle w:val="Heading3"/>
      </w:pPr>
      <w:r>
        <w:t xml:space="preserve">References</w:t>
      </w:r>
    </w:p>
    <w:p>
      <w:pPr>
        <w:pStyle w:val="FirstParagraph"/>
      </w:pPr>
      <w:r>
        <w:t xml:space="preserve">Dijst, M., &amp; Schwanen, T. (2018). Sustainable urban mobility: The role of transport policies. *Journal of Transport Geography*, 70, 69-82.</w:t>
      </w:r>
      <w:r>
        <w:br/>
      </w:r>
      <w:r>
        <w:t xml:space="preserve">Netherlands Environmental Assessment Agency. (2021). *Climate Agreement Progress Report*. Utrecht: PBL Netherlands Environmental Assessment Agency.</w:t>
      </w:r>
      <w:r>
        <w:br/>
      </w:r>
      <w:r>
        <w:t xml:space="preserve">Pucher, J., &amp; Buehler, R. (2017). Cycling for everyone: Lessons from Europe and China for improving cycling conditions in the United States. *Transportation Research Record*, 2639(1), 48-59.</w:t>
      </w:r>
      <w:r>
        <w:br/>
      </w:r>
      <w:r>
        <w:t xml:space="preserve">Van der Wal, C., et al. (2023). Equity in Amsterdam's mobility transitions. *Urban Studies*, 60(4), 877-895.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in Netherlands Amsterdam</dc:title>
  <dc:creator/>
  <dc:language>en</dc:language>
  <cp:keywords/>
  <dcterms:created xsi:type="dcterms:W3CDTF">2026-07-21T09:13:19Z</dcterms:created>
  <dcterms:modified xsi:type="dcterms:W3CDTF">2026-07-21T09:13:19Z</dcterms:modified>
</cp:coreProperties>
</file>

<file path=docProps/custom.xml><?xml version="1.0" encoding="utf-8"?>
<Properties xmlns="http://schemas.openxmlformats.org/officeDocument/2006/custom-properties" xmlns:vt="http://schemas.openxmlformats.org/officeDocument/2006/docPropsVTypes"/>
</file>