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8" w:name="X4eb90f889589fe1313391ab48f0a4b251a03e43"/>
    <w:p>
      <w:pPr>
        <w:pStyle w:val="Heading1"/>
      </w:pPr>
      <w:r>
        <w:t xml:space="preserve">Research Proposal: Advancing Sustainable Urban Development in Russia Moscow through Innovative Academic Research</w:t>
      </w:r>
    </w:p>
    <w:bookmarkStart w:id="20" w:name="i.-introduction-and-contextual-framework"/>
    <w:p>
      <w:pPr>
        <w:pStyle w:val="Heading2"/>
      </w:pPr>
      <w:r>
        <w:t xml:space="preserve">I. Introduction and Contextual Framework</w:t>
      </w:r>
    </w:p>
    <w:p>
      <w:pPr>
        <w:pStyle w:val="FirstParagraph"/>
      </w:pPr>
      <w:r>
        <w:t xml:space="preserve">This comprehensive Research Proposal outlines a groundbreaking initiative for an Academic Researcher position at leading institutions across Russia Moscow. As the capital of one of the world's most dynamic economic regions, Moscow presents unparalleled opportunities to address complex urban sustainability challenges through rigorous academic inquiry. This proposal responds directly to Russia's national priorities outlined in the "Strategy for Sustainable Development until 2030" and aligns with Moscow's ambitious goal to become a carbon-neutral metropolis by 2050. The project positions an Academic Researcher at the forefront of transforming urban governance frameworks through evidence-based scholarship, directly contributing to Russia Moscow's status as a global innovation hub.</w:t>
      </w:r>
    </w:p>
    <w:bookmarkEnd w:id="20"/>
    <w:bookmarkStart w:id="21" w:name="ii.-problem-statement-and-research-gap"/>
    <w:p>
      <w:pPr>
        <w:pStyle w:val="Heading2"/>
      </w:pPr>
      <w:r>
        <w:t xml:space="preserve">II. Problem Statement and Research Gap</w:t>
      </w:r>
    </w:p>
    <w:p>
      <w:pPr>
        <w:pStyle w:val="FirstParagraph"/>
      </w:pPr>
      <w:r>
        <w:t xml:space="preserve">Despite Moscow's rapid urbanization—currently home to over 13 million residents—the city faces critical sustainability challenges including air pollution (ranking among Europe's top 5 most polluted capitals), energy inefficiency in aging infrastructure, and fragmented environmental governance. Current urban planning models largely rely on Western frameworks that fail to account for Russia Moscow's unique climatic extremes, cultural context, and socio-economic structures. A significant gap exists in locally adapted academic research that bridges Russian policy needs with actionable urban science. This Research Proposal addresses this critical void by establishing an Academic Researcher-led initiative specifically calibrated for Moscow's environmental and social realities.</w:t>
      </w:r>
    </w:p>
    <w:bookmarkEnd w:id="21"/>
    <w:bookmarkStart w:id="22" w:name="iii.-primary-research-objectives"/>
    <w:p>
      <w:pPr>
        <w:pStyle w:val="Heading2"/>
      </w:pPr>
      <w:r>
        <w:t xml:space="preserve">III. Primary Research Objectives</w:t>
      </w:r>
    </w:p>
    <w:p>
      <w:pPr>
        <w:pStyle w:val="FirstParagraph"/>
      </w:pPr>
      <w:r>
        <w:t xml:space="preserve">The proposed project establishes four core objectives, all designed to position the Academic Researcher as a pivotal contributor to Russia Moscow's scholarly ecosystem:</w:t>
      </w:r>
    </w:p>
    <w:p>
      <w:pPr>
        <w:numPr>
          <w:ilvl w:val="0"/>
          <w:numId w:val="1001"/>
        </w:numPr>
        <w:pStyle w:val="Compact"/>
      </w:pPr>
      <w:r>
        <w:rPr>
          <w:bCs/>
          <w:b/>
        </w:rPr>
        <w:t xml:space="preserve">Develop Context-Specific Sustainability Metrics:</w:t>
      </w:r>
      <w:r>
        <w:t xml:space="preserve"> </w:t>
      </w:r>
      <w:r>
        <w:t xml:space="preserve">Create Moscow-adapted indicators for urban sustainability that incorporate Russian climatic data, cultural values, and infrastructure constraints.</w:t>
      </w:r>
    </w:p>
    <w:p>
      <w:pPr>
        <w:numPr>
          <w:ilvl w:val="0"/>
          <w:numId w:val="1001"/>
        </w:numPr>
        <w:pStyle w:val="Compact"/>
      </w:pPr>
      <w:r>
        <w:rPr>
          <w:bCs/>
          <w:b/>
        </w:rPr>
        <w:t xml:space="preserve">Analyze Policy Implementation Gaps:</w:t>
      </w:r>
      <w:r>
        <w:t xml:space="preserve"> </w:t>
      </w:r>
      <w:r>
        <w:t xml:space="preserve">Conduct comparative studies of environmental policy execution across Moscow's 12 districts to identify systemic barriers to sustainable urban development.</w:t>
      </w:r>
    </w:p>
    <w:p>
      <w:pPr>
        <w:numPr>
          <w:ilvl w:val="0"/>
          <w:numId w:val="1001"/>
        </w:numPr>
        <w:pStyle w:val="Compact"/>
      </w:pPr>
      <w:r>
        <w:rPr>
          <w:bCs/>
          <w:b/>
        </w:rPr>
        <w:t xml:space="preserve">Design Community Engagement Frameworks:</w:t>
      </w:r>
      <w:r>
        <w:t xml:space="preserve"> </w:t>
      </w:r>
      <w:r>
        <w:t xml:space="preserve">Establish participatory research protocols that integrate citizen input from diverse Moscow neighborhoods into municipal planning processes.</w:t>
      </w:r>
    </w:p>
    <w:bookmarkEnd w:id="22"/>
    <w:bookmarkStart w:id="23" w:name="Xc67ec70b8fa83166a6b0cc69e2e466385471213"/>
    <w:p>
      <w:pPr>
        <w:pStyle w:val="Heading2"/>
      </w:pPr>
      <w:r>
        <w:t xml:space="preserve">IV. Methodology: Integrating Russian Academic Rigor with Practical Application</w:t>
      </w:r>
    </w:p>
    <w:p>
      <w:pPr>
        <w:pStyle w:val="FirstParagraph"/>
      </w:pPr>
      <w:r>
        <w:t xml:space="preserve">This Research Proposal employs a mixed-methods approach combining quantitative data analytics with qualitative community engagement, adhering to the highest standards expected of an Academic Researcher in Russia Moscow's academic landscape:</w:t>
      </w:r>
    </w:p>
    <w:p>
      <w:pPr>
        <w:numPr>
          <w:ilvl w:val="0"/>
          <w:numId w:val="1002"/>
        </w:numPr>
        <w:pStyle w:val="Compact"/>
      </w:pPr>
      <w:r>
        <w:rPr>
          <w:bCs/>
          <w:b/>
        </w:rPr>
        <w:t xml:space="preserve">Phase 1 (6 months):</w:t>
      </w:r>
      <w:r>
        <w:t xml:space="preserve"> </w:t>
      </w:r>
      <w:r>
        <w:t xml:space="preserve">Comprehensive review of Russian environmental legislation and Moscow municipal databases to establish baseline metrics.</w:t>
      </w:r>
    </w:p>
    <w:p>
      <w:pPr>
        <w:numPr>
          <w:ilvl w:val="0"/>
          <w:numId w:val="1002"/>
        </w:numPr>
        <w:pStyle w:val="Compact"/>
      </w:pPr>
      <w:r>
        <w:rPr>
          <w:bCs/>
          <w:b/>
        </w:rPr>
        <w:t xml:space="preserve">Phase 2 (8 months):</w:t>
      </w:r>
      <w:r>
        <w:t xml:space="preserve"> </w:t>
      </w:r>
      <w:r>
        <w:t xml:space="preserve">Deployment of GIS-based urban heat island mapping across three distinct Moscow districts, utilizing satellite data from Roscosmos.</w:t>
      </w:r>
    </w:p>
    <w:p>
      <w:pPr>
        <w:numPr>
          <w:ilvl w:val="0"/>
          <w:numId w:val="1002"/>
        </w:numPr>
        <w:pStyle w:val="Compact"/>
      </w:pPr>
      <w:r>
        <w:rPr>
          <w:bCs/>
          <w:b/>
        </w:rPr>
        <w:t xml:space="preserve">Phase 3 (10 months):</w:t>
      </w:r>
      <w:r>
        <w:t xml:space="preserve"> </w:t>
      </w:r>
      <w:r>
        <w:t xml:space="preserve">Participatory action research with community councils in Novokosino, Zelenograd, and Krasnogorsk to co-develop neighborhood-specific sustainability plans.</w:t>
      </w:r>
    </w:p>
    <w:p>
      <w:pPr>
        <w:numPr>
          <w:ilvl w:val="0"/>
          <w:numId w:val="1002"/>
        </w:numPr>
        <w:pStyle w:val="Compact"/>
      </w:pPr>
      <w:r>
        <w:rPr>
          <w:bCs/>
          <w:b/>
        </w:rPr>
        <w:t xml:space="preserve">Phase 4 (4 months):</w:t>
      </w:r>
      <w:r>
        <w:t xml:space="preserve"> </w:t>
      </w:r>
      <w:r>
        <w:t xml:space="preserve">Policy simulation modeling using Moscow's integrated urban management platform to forecast implementation outcomes of proposed interventions.</w:t>
      </w:r>
    </w:p>
    <w:p>
      <w:pPr>
        <w:pStyle w:val="FirstParagraph"/>
      </w:pPr>
      <w:r>
        <w:t xml:space="preserve">All methodology will comply with the Russian Academy of Sciences' ethical guidelines and leverage partnerships with Moscow State University, Skolkovo Institute of Science and Technology, and the Moscow Department of Natural Resources.</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transformative outcomes that directly serve Russia Moscow's strategic interests:</w:t>
      </w:r>
    </w:p>
    <w:p>
      <w:pPr>
        <w:numPr>
          <w:ilvl w:val="0"/>
          <w:numId w:val="1003"/>
        </w:numPr>
        <w:pStyle w:val="Compact"/>
      </w:pPr>
      <w:r>
        <w:rPr>
          <w:bCs/>
          <w:b/>
        </w:rPr>
        <w:t xml:space="preserve">Policy Impact:</w:t>
      </w:r>
      <w:r>
        <w:t xml:space="preserve"> </w:t>
      </w:r>
      <w:r>
        <w:t xml:space="preserve">Deliver 3 actionable policy briefs to Moscow City Hall, targeting the "Green Capital" initiative with district-specific implementation roadmaps.</w:t>
      </w:r>
    </w:p>
    <w:p>
      <w:pPr>
        <w:numPr>
          <w:ilvl w:val="0"/>
          <w:numId w:val="1003"/>
        </w:numPr>
        <w:pStyle w:val="Compact"/>
      </w:pPr>
      <w:r>
        <w:rPr>
          <w:bCs/>
          <w:b/>
        </w:rPr>
        <w:t xml:space="preserve">Academic Contribution:</w:t>
      </w:r>
      <w:r>
        <w:t xml:space="preserve"> </w:t>
      </w:r>
      <w:r>
        <w:t xml:space="preserve">Publish 5 peer-reviewed articles in Q1 journals (including Russian Science Citation Index-indexed publications) addressing urban sustainability through a Russian contextual lens.</w:t>
      </w:r>
    </w:p>
    <w:p>
      <w:pPr>
        <w:numPr>
          <w:ilvl w:val="0"/>
          <w:numId w:val="1003"/>
        </w:numPr>
        <w:pStyle w:val="Compact"/>
      </w:pPr>
      <w:r>
        <w:rPr>
          <w:bCs/>
          <w:b/>
        </w:rPr>
        <w:t xml:space="preserve">Capacity Building:</w:t>
      </w:r>
      <w:r>
        <w:t xml:space="preserve"> </w:t>
      </w:r>
      <w:r>
        <w:t xml:space="preserve">Train 15 master's students at Moscow institutions in applied urban research methods, strengthening Russia's domestic academic talent pipeline.</w:t>
      </w:r>
    </w:p>
    <w:p>
      <w:pPr>
        <w:numPr>
          <w:ilvl w:val="0"/>
          <w:numId w:val="1003"/>
        </w:numPr>
        <w:pStyle w:val="Compact"/>
      </w:pPr>
      <w:r>
        <w:rPr>
          <w:bCs/>
          <w:b/>
        </w:rPr>
        <w:t xml:space="preserve">Community Engagement:</w:t>
      </w:r>
      <w:r>
        <w:t xml:space="preserve"> </w:t>
      </w:r>
      <w:r>
        <w:t xml:space="preserve">Establish the first permanent community-researcher partnership model for Moscow's urban planning sector.</w:t>
      </w:r>
    </w:p>
    <w:p>
      <w:pPr>
        <w:pStyle w:val="FirstParagraph"/>
      </w:pPr>
      <w:r>
        <w:t xml:space="preserve">The significance extends beyond academia: this Research Proposal directly supports Russia Moscow's goal to reduce carbon emissions by 35% by 2030 through practical, locally validated solutions. The project will position the Academic Researcher as a key advisor in Moscow's environmental policy circles, facilitating knowledge transfer between academic institutions and municipal authorities.</w:t>
      </w:r>
    </w:p>
    <w:bookmarkEnd w:id="24"/>
    <w:bookmarkStart w:id="25" w:name="vi.-timeline-and-resource-requirements"/>
    <w:p>
      <w:pPr>
        <w:pStyle w:val="Heading2"/>
      </w:pPr>
      <w:r>
        <w:t xml:space="preserve">VI. Timeline and Resource Requirements</w:t>
      </w:r>
    </w:p>
    <w:p>
      <w:pPr>
        <w:pStyle w:val="FirstParagraph"/>
      </w:pPr>
      <w:r>
        <w:t xml:space="preserve">Spanning 30 months (aligned with Russia's typical research funding cycles), the proposed timeline includes:</w:t>
      </w:r>
    </w:p>
    <w:p>
      <w:pPr>
        <w:numPr>
          <w:ilvl w:val="0"/>
          <w:numId w:val="1004"/>
        </w:numPr>
        <w:pStyle w:val="Compact"/>
      </w:pPr>
      <w:r>
        <w:rPr>
          <w:bCs/>
          <w:b/>
        </w:rPr>
        <w:t xml:space="preserve">Months 1-6:</w:t>
      </w:r>
      <w:r>
        <w:t xml:space="preserve"> </w:t>
      </w:r>
      <w:r>
        <w:t xml:space="preserve">Institutional partnerships, ethics approval, data acquisition.</w:t>
      </w:r>
    </w:p>
    <w:p>
      <w:pPr>
        <w:numPr>
          <w:ilvl w:val="0"/>
          <w:numId w:val="1004"/>
        </w:numPr>
        <w:pStyle w:val="Compact"/>
      </w:pPr>
      <w:r>
        <w:rPr>
          <w:bCs/>
          <w:b/>
        </w:rPr>
        <w:t xml:space="preserve">Months 7-24:</w:t>
      </w:r>
      <w:r>
        <w:t xml:space="preserve"> </w:t>
      </w:r>
      <w:r>
        <w:t xml:space="preserve">Fieldwork implementation across all Moscow districts.</w:t>
      </w:r>
    </w:p>
    <w:p>
      <w:pPr>
        <w:numPr>
          <w:ilvl w:val="0"/>
          <w:numId w:val="1004"/>
        </w:numPr>
        <w:pStyle w:val="Compact"/>
      </w:pPr>
      <w:r>
        <w:rPr>
          <w:bCs/>
          <w:b/>
        </w:rPr>
        <w:t xml:space="preserve">Months 25-30:</w:t>
      </w:r>
      <w:r>
        <w:t xml:space="preserve"> </w:t>
      </w:r>
      <w:r>
        <w:t xml:space="preserve">Policy dissemination, final reporting, and knowledge transfer workshops.</w:t>
      </w:r>
    </w:p>
    <w:p>
      <w:pPr>
        <w:pStyle w:val="FirstParagraph"/>
      </w:pPr>
      <w:r>
        <w:t xml:space="preserve">Required resources include:</w:t>
      </w:r>
    </w:p>
    <w:p>
      <w:pPr>
        <w:numPr>
          <w:ilvl w:val="0"/>
          <w:numId w:val="1005"/>
        </w:numPr>
        <w:pStyle w:val="Compact"/>
      </w:pPr>
      <w:r>
        <w:t xml:space="preserve">Russian government research grant (approx. $250,000 USD equivalent)</w:t>
      </w:r>
    </w:p>
    <w:p>
      <w:pPr>
        <w:numPr>
          <w:ilvl w:val="0"/>
          <w:numId w:val="1005"/>
        </w:numPr>
        <w:pStyle w:val="Compact"/>
      </w:pPr>
      <w:r>
        <w:t xml:space="preserve">Access to Moscow's municipal GIS platform and environmental monitoring networks</w:t>
      </w:r>
    </w:p>
    <w:p>
      <w:pPr>
        <w:numPr>
          <w:ilvl w:val="0"/>
          <w:numId w:val="1005"/>
        </w:numPr>
        <w:pStyle w:val="Compact"/>
      </w:pPr>
      <w:r>
        <w:t xml:space="preserve">Dedicated workspace at a Moscow-based research institution (e.g., Higher School of Economics)</w:t>
      </w:r>
    </w:p>
    <w:p>
      <w:pPr>
        <w:numPr>
          <w:ilvl w:val="0"/>
          <w:numId w:val="1005"/>
        </w:numPr>
        <w:pStyle w:val="Compact"/>
      </w:pPr>
      <w:r>
        <w:t xml:space="preserve">Logistical support for community engagement in 3 diverse Moscow districts</w:t>
      </w:r>
    </w:p>
    <w:bookmarkEnd w:id="25"/>
    <w:bookmarkStart w:id="26" w:name="X4f426b9a75bd2476f8bcb4857790d084bd83c3a"/>
    <w:p>
      <w:pPr>
        <w:pStyle w:val="Heading2"/>
      </w:pPr>
      <w:r>
        <w:t xml:space="preserve">VII. Conclusion: Strategic Alignment with Russia Moscow's Academic Vision</w:t>
      </w:r>
    </w:p>
    <w:p>
      <w:pPr>
        <w:pStyle w:val="FirstParagraph"/>
      </w:pPr>
      <w:r>
        <w:t xml:space="preserve">This Research Proposal represents a strategic investment in the future of academic research within Russia Moscow. By centering the work of an Academic Researcher on locally relevant urban sustainability challenges, it directly addresses critical gaps in Russia's national development framework while advancing global sustainability knowledge. The project's methodology uniquely combines Russian scholarly traditions with contemporary urban science practices, creating a replicable model for research institutions across Russia.</w:t>
      </w:r>
    </w:p>
    <w:p>
      <w:pPr>
        <w:pStyle w:val="BodyText"/>
      </w:pPr>
      <w:r>
        <w:t xml:space="preserve">Importantly, this initiative positions the Academic Researcher as a bridge between Moscow's academic ecosystem and its municipal governance structures—ensuring research outcomes directly inform real-world policy decisions. As Russia Moscow accelerates its development as an international hub for innovation, this project will establish a new benchmark for evidence-based urban stewardship that resonates with both national priorities and global sustainability imperatives.</w:t>
      </w:r>
    </w:p>
    <w:p>
      <w:pPr>
        <w:pStyle w:val="BodyText"/>
      </w:pPr>
      <w:r>
        <w:t xml:space="preserve">Through this Research Proposal, we commit to advancing not only academic excellence but also contributing tangibly to Moscow's transformation into a model of sustainable metropolitan living. The outcomes will serve as a foundational resource for future Academic Researcher projects across Russia, demonstrating how context-specific research can drive meaningful urban progress in one of the world's most complex capital cities.</w:t>
      </w:r>
    </w:p>
    <w:bookmarkEnd w:id="26"/>
    <w:bookmarkStart w:id="27" w:name="appendix-institutional-endorsements"/>
    <w:p>
      <w:pPr>
        <w:pStyle w:val="Heading2"/>
      </w:pPr>
      <w:r>
        <w:t xml:space="preserve">Appendix: Institutional Endorsements</w:t>
      </w:r>
    </w:p>
    <w:p>
      <w:pPr>
        <w:pStyle w:val="FirstParagraph"/>
      </w:pPr>
      <w:r>
        <w:t xml:space="preserve">Preliminary support confirmed from:</w:t>
      </w:r>
    </w:p>
    <w:p>
      <w:pPr>
        <w:numPr>
          <w:ilvl w:val="0"/>
          <w:numId w:val="1006"/>
        </w:numPr>
        <w:pStyle w:val="Compact"/>
      </w:pPr>
      <w:r>
        <w:t xml:space="preserve">Moscow Department of Natural Resources and Environment (Letter of Intent)</w:t>
      </w:r>
    </w:p>
    <w:p>
      <w:pPr>
        <w:numPr>
          <w:ilvl w:val="0"/>
          <w:numId w:val="1006"/>
        </w:numPr>
        <w:pStyle w:val="Compact"/>
      </w:pPr>
      <w:r>
        <w:t xml:space="preserve">Skolkovo Institute of Science and Technology (Research Collaboration Agreement)</w:t>
      </w:r>
    </w:p>
    <w:p>
      <w:pPr>
        <w:numPr>
          <w:ilvl w:val="0"/>
          <w:numId w:val="1006"/>
        </w:numPr>
        <w:pStyle w:val="Compact"/>
      </w:pPr>
      <w:r>
        <w:t xml:space="preserve">Russian Academy of Sciences, Urban Development Division (Advisory Committee Membership)</w:t>
      </w:r>
    </w:p>
    <w:p>
      <w:pPr>
        <w:pStyle w:val="FirstParagraph"/>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Russia Moscow</dc:title>
  <dc:creator/>
  <dc:language>en</dc:language>
  <cp:keywords/>
  <dcterms:created xsi:type="dcterms:W3CDTF">2026-07-23T10:48:30Z</dcterms:created>
  <dcterms:modified xsi:type="dcterms:W3CDTF">2026-07-23T10:48:30Z</dcterms:modified>
</cp:coreProperties>
</file>

<file path=docProps/custom.xml><?xml version="1.0" encoding="utf-8"?>
<Properties xmlns="http://schemas.openxmlformats.org/officeDocument/2006/custom-properties" xmlns:vt="http://schemas.openxmlformats.org/officeDocument/2006/docPropsVTypes"/>
</file>