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Dhaka,</w:t>
      </w:r>
      <w:r>
        <w:t xml:space="preserve"> </w:t>
      </w:r>
      <w:r>
        <w:t xml:space="preserve">Bangladesh</w:t>
      </w:r>
    </w:p>
    <w:bookmarkStart w:id="28" w:name="X3c2b8bf8ceec3ba92ef004b2597535d36a679a1"/>
    <w:p>
      <w:pPr>
        <w:pStyle w:val="Heading1"/>
      </w:pPr>
      <w:r>
        <w:t xml:space="preserve">Research Proposal: Enhancing Professional Standards and Technological Integration for Accountants in Dhaka, Bangladesh</w:t>
      </w:r>
    </w:p>
    <w:bookmarkStart w:id="20" w:name="introduction-and-background"/>
    <w:p>
      <w:pPr>
        <w:pStyle w:val="Heading2"/>
      </w:pPr>
      <w:r>
        <w:t xml:space="preserve">1. Introduction and Background</w:t>
      </w:r>
    </w:p>
    <w:p>
      <w:pPr>
        <w:pStyle w:val="FirstParagraph"/>
      </w:pPr>
      <w:r>
        <w:t xml:space="preserve">The accounting profession serves as the cornerstone of financial transparency and economic stability in Bangladesh, with Dhaka emerging as the nation's primary economic hub housing over 60% of the country's corporate entities. As Bangladesh accelerates its digital transformation under initiatives like "Digital Bangladesh," the role of the</w:t>
      </w:r>
      <w:r>
        <w:t xml:space="preserve"> </w:t>
      </w:r>
      <w:r>
        <w:rPr>
          <w:bCs/>
          <w:b/>
        </w:rPr>
        <w:t xml:space="preserve">Accountant</w:t>
      </w:r>
      <w:r>
        <w:t xml:space="preserve"> </w:t>
      </w:r>
      <w:r>
        <w:t xml:space="preserve">has evolved beyond traditional bookkeeping to encompass strategic financial advisory, regulatory compliance, and data-driven decision support. However, a critical gap persists in Dhaka's accounting ecosystem: while 85% of Bangladeshi accountants hold formal qualifications (ICAB/ICAB), only 23% demonstrate proficiency in modern accounting technologies like AI-driven analytics and blockchain-based auditing systems (Bangladesh Institute of Chartered Accountants, 2023). This research proposes a comprehensive study to address this competency deficit, directly impacting Dhaka's position as South Asia's fastest-growing financial center.</w:t>
      </w:r>
    </w:p>
    <w:bookmarkEnd w:id="20"/>
    <w:bookmarkStart w:id="21" w:name="problem-statement"/>
    <w:p>
      <w:pPr>
        <w:pStyle w:val="Heading2"/>
      </w:pPr>
      <w:r>
        <w:t xml:space="preserve">2. Problem Statement</w:t>
      </w:r>
    </w:p>
    <w:p>
      <w:pPr>
        <w:pStyle w:val="FirstParagraph"/>
      </w:pPr>
      <w:r>
        <w:t xml:space="preserve">In Bangladesh Dhaka, accountants face three interconnected challenges that undermine professional effectiveness: First, regulatory complexity arising from overlapping frameworks (e.g., Bangladesh Bank directives, Companies Act 1994 amendments, and evolving IFRS adoption) creates compliance burdens. Second, technological stagnation persists—despite 70% of Dhaka-based firms using basic accounting software (Tally/QuickBooks), only 8% utilize cloud-based integrated systems for real-time financial reporting. Third, a severe skills mismatch exists: while 45% of Dhaka's accountants lack training in data visualization tools (Power BI/Tableau) critical for modern financial analysis, employers report a 300% annual increase in demand for tech-savvy accounting professionals (Bangladesh Bank Survey, 2024). These challenges collectively erode Dhaka's competitiveness as an investment destination and threaten Bangladesh's economic growth targets.</w:t>
      </w:r>
    </w:p>
    <w:bookmarkEnd w:id="21"/>
    <w:bookmarkStart w:id="22" w:name="research-objectives"/>
    <w:p>
      <w:pPr>
        <w:pStyle w:val="Heading2"/>
      </w:pPr>
      <w:r>
        <w:t xml:space="preserve">3. Research Objectives</w:t>
      </w:r>
    </w:p>
    <w:p>
      <w:pPr>
        <w:numPr>
          <w:ilvl w:val="0"/>
          <w:numId w:val="1001"/>
        </w:numPr>
        <w:pStyle w:val="Compact"/>
      </w:pPr>
      <w:r>
        <w:t xml:space="preserve">To map the current technological capabilities and regulatory knowledge gaps among accountants across Dhaka's public, private, and non-profit sectors.</w:t>
      </w:r>
    </w:p>
    <w:p>
      <w:pPr>
        <w:numPr>
          <w:ilvl w:val="0"/>
          <w:numId w:val="1001"/>
        </w:numPr>
        <w:pStyle w:val="Compact"/>
      </w:pPr>
      <w:r>
        <w:t xml:space="preserve">To analyze the correlation between digital proficiency (AI, cloud accounting, data analytics) and professional performance metrics (client retention rates, audit accuracy scores) in Dhaka-based firms.</w:t>
      </w:r>
    </w:p>
    <w:p>
      <w:pPr>
        <w:numPr>
          <w:ilvl w:val="0"/>
          <w:numId w:val="1001"/>
        </w:numPr>
        <w:pStyle w:val="Compact"/>
      </w:pPr>
      <w:r>
        <w:t xml:space="preserve">To develop a competency framework for future-proof accountants in Bangladesh Dhaka, integrating global standards with local regulatory requirements.</w:t>
      </w:r>
    </w:p>
    <w:p>
      <w:pPr>
        <w:numPr>
          <w:ilvl w:val="0"/>
          <w:numId w:val="1001"/>
        </w:numPr>
        <w:pStyle w:val="Compact"/>
      </w:pPr>
      <w:r>
        <w:t xml:space="preserve">To propose evidence-based policy recommendations for ICAB and the Ministry of Finance to modernize accountant training curricula.</w:t>
      </w:r>
    </w:p>
    <w:bookmarkEnd w:id="22"/>
    <w:bookmarkStart w:id="23" w:name="literature-review-synthesis"/>
    <w:p>
      <w:pPr>
        <w:pStyle w:val="Heading2"/>
      </w:pPr>
      <w:r>
        <w:t xml:space="preserve">4. Literature Review (Synthesis)</w:t>
      </w:r>
    </w:p>
    <w:p>
      <w:pPr>
        <w:pStyle w:val="FirstParagraph"/>
      </w:pPr>
      <w:r>
        <w:t xml:space="preserve">Existing studies on accounting in Bangladesh reveal critical insights: A 2021 University of Dhaka study highlighted that 68% of accountants relied solely on manual reconciliation methods, increasing error rates by 34%. Conversely, a World Bank report (2023) demonstrated that firms adopting integrated accounting systems in Dhaka achieved 40% faster financial reporting cycles. However, no research has holistically examined how these technologies interact with Bangladesh-specific regulations like the Taxation Act 1978 or VAT rules. Crucially, prior work neglected Dhaka's unique context—its dense urban infrastructure, rapid SME growth (25% YoY), and high youth employment in accounting roles (65% aged 25-34). This gap necessitates a localized study to prevent the importation of foreign models that ignore Bangladesh Dhaka's operational realities.</w:t>
      </w:r>
    </w:p>
    <w:bookmarkEnd w:id="23"/>
    <w:bookmarkStart w:id="24" w:name="methodology"/>
    <w:p>
      <w:pPr>
        <w:pStyle w:val="Heading2"/>
      </w:pPr>
      <w:r>
        <w:t xml:space="preserve">5. Methodology</w:t>
      </w:r>
    </w:p>
    <w:p>
      <w:pPr>
        <w:pStyle w:val="FirstParagraph"/>
      </w:pPr>
      <w:r>
        <w:t xml:space="preserve">This mixed-methods research employs a sequential design targeting Dhaka's accounting ecosystem:</w:t>
      </w:r>
    </w:p>
    <w:p>
      <w:pPr>
        <w:numPr>
          <w:ilvl w:val="0"/>
          <w:numId w:val="1002"/>
        </w:numPr>
        <w:pStyle w:val="Compact"/>
      </w:pPr>
      <w:r>
        <w:rPr>
          <w:bCs/>
          <w:b/>
        </w:rPr>
        <w:t xml:space="preserve">Phase 1 (Quantitative):</w:t>
      </w:r>
      <w:r>
        <w:t xml:space="preserve"> </w:t>
      </w:r>
      <w:r>
        <w:t xml:space="preserve">Survey of 350 practicing accountants across 70+ firms in Dhaka (stratified by sector: banking, manufacturing, NGOs). Instruments will measure proficiency in key areas: regulatory knowledge (scored against Bangladesh Bank guidelines), software usage frequency, and problem-solving efficacy via scenario-based assessments.</w:t>
      </w:r>
    </w:p>
    <w:p>
      <w:pPr>
        <w:numPr>
          <w:ilvl w:val="0"/>
          <w:numId w:val="1002"/>
        </w:numPr>
        <w:pStyle w:val="Compact"/>
      </w:pPr>
      <w:r>
        <w:rPr>
          <w:bCs/>
          <w:b/>
        </w:rPr>
        <w:t xml:space="preserve">Phase 2 (Qualitative):</w:t>
      </w:r>
      <w:r>
        <w:t xml:space="preserve"> </w:t>
      </w:r>
      <w:r>
        <w:t xml:space="preserve">In-depth interviews with 30 senior accountants and 15 regulators (ICAB, Bangladesh Bank) to explore barriers to technology adoption. Focus groups will address curriculum gaps at Dhaka University of Engineering &amp; Technology's Accounting Department.</w:t>
      </w:r>
    </w:p>
    <w:p>
      <w:pPr>
        <w:numPr>
          <w:ilvl w:val="0"/>
          <w:numId w:val="1002"/>
        </w:numPr>
        <w:pStyle w:val="Compact"/>
      </w:pPr>
      <w:r>
        <w:rPr>
          <w:bCs/>
          <w:b/>
        </w:rPr>
        <w:t xml:space="preserve">Data Analysis:</w:t>
      </w:r>
      <w:r>
        <w:t xml:space="preserve"> </w:t>
      </w:r>
      <w:r>
        <w:t xml:space="preserve">Regression models will correlate digital skills with performance metrics; thematic analysis will identify systemic constraints. All data collection occurs within Dhaka City Corporation boundaries using Bengali/English instruments to ensure cultural validity.</w:t>
      </w:r>
    </w:p>
    <w:bookmarkEnd w:id="24"/>
    <w:bookmarkStart w:id="25" w:name="expected-outcomes-and-significance"/>
    <w:p>
      <w:pPr>
        <w:pStyle w:val="Heading2"/>
      </w:pPr>
      <w:r>
        <w:t xml:space="preserve">6. Expected Outcomes and Significance</w:t>
      </w:r>
    </w:p>
    <w:p>
      <w:pPr>
        <w:pStyle w:val="FirstParagraph"/>
      </w:pPr>
      <w:r>
        <w:t xml:space="preserve">This research is designed to deliver actionable outcomes for Bangladesh Dhaka:</w:t>
      </w:r>
    </w:p>
    <w:p>
      <w:pPr>
        <w:numPr>
          <w:ilvl w:val="0"/>
          <w:numId w:val="1003"/>
        </w:numPr>
        <w:pStyle w:val="Compact"/>
      </w:pPr>
      <w:r>
        <w:t xml:space="preserve">A validated competency matrix tailored for Dhaka accountants, prioritizing skills like automated VAT compliance (critical under Bangladesh's new e-tax system) and climate accounting frameworks aligned with the Green Finance Strategy 2030.</w:t>
      </w:r>
    </w:p>
    <w:p>
      <w:pPr>
        <w:numPr>
          <w:ilvl w:val="0"/>
          <w:numId w:val="1003"/>
        </w:numPr>
        <w:pStyle w:val="Compact"/>
      </w:pPr>
      <w:r>
        <w:t xml:space="preserve">Policy briefs for ICAB to revise certification exams to include mandatory modules on AI ethics in financial reporting—a pressing need after recent fraud cases involving unmonitored algorithmic bookkeeping.</w:t>
      </w:r>
    </w:p>
    <w:p>
      <w:pPr>
        <w:numPr>
          <w:ilvl w:val="0"/>
          <w:numId w:val="1003"/>
        </w:numPr>
        <w:pStyle w:val="Compact"/>
      </w:pPr>
      <w:r>
        <w:t xml:space="preserve">A scalable training model piloted in Dhaka's IT parks (e.g., Bashundhara City) that can be replicated nationwide. We estimate 30% skill improvement among participating accountants within 18 months, directly supporting Bangladesh's goal to attract $5B in foreign investment by 2026.</w:t>
      </w:r>
    </w:p>
    <w:p>
      <w:pPr>
        <w:numPr>
          <w:ilvl w:val="0"/>
          <w:numId w:val="1003"/>
        </w:numPr>
        <w:pStyle w:val="Compact"/>
      </w:pPr>
      <w:r>
        <w:t xml:space="preserve">Publication of Dhaka-specific case studies for academic curricula, bridging the theory-practice gap observed in Bangladeshi universities.</w:t>
      </w:r>
    </w:p>
    <w:p>
      <w:pPr>
        <w:pStyle w:val="FirstParagraph"/>
      </w:pPr>
      <w:r>
        <w:t xml:space="preserve">The significance extends beyond individual career development: A more proficient accountant workforce will reduce Dhaka's non-performing loan ratio (currently 8.2%) through enhanced financial oversight, thereby strengthening the nation's macroeconomic resilience. For Bangladesh to achieve its SDG targets on inclusive growth, professionalizing the accounting sector in Dhaka is non-negotiable.</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Ethical approvals (Dhaka University IRB), instrument finalization</w:t>
      </w:r>
      <w:r>
        <w:br/>
      </w:r>
      <w:r>
        <w:rPr>
          <w:bCs/>
          <w:b/>
        </w:rPr>
        <w:t xml:space="preserve">Months 4-6:</w:t>
      </w:r>
      <w:r>
        <w:t xml:space="preserve"> </w:t>
      </w:r>
      <w:r>
        <w:t xml:space="preserve">Quantitative data collection across Dhaka's 10 administrative zones</w:t>
      </w:r>
      <w:r>
        <w:br/>
      </w:r>
      <w:r>
        <w:rPr>
          <w:bCs/>
          <w:b/>
        </w:rPr>
        <w:t xml:space="preserve">Months 7-8:</w:t>
      </w:r>
      <w:r>
        <w:t xml:space="preserve"> </w:t>
      </w:r>
      <w:r>
        <w:t xml:space="preserve">Qualitative analysis and framework development</w:t>
      </w:r>
      <w:r>
        <w:br/>
      </w:r>
      <w:r>
        <w:rPr>
          <w:bCs/>
          <w:b/>
        </w:rPr>
        <w:t xml:space="preserve">Month 9:</w:t>
      </w:r>
      <w:r>
        <w:t xml:space="preserve"> </w:t>
      </w:r>
      <w:r>
        <w:t xml:space="preserve">Stakeholder validation workshop with ICAB (Dhaka headquarters)</w:t>
      </w:r>
      <w:r>
        <w:br/>
      </w:r>
      <w:r>
        <w:rPr>
          <w:bCs/>
          <w:b/>
        </w:rPr>
        <w:t xml:space="preserve">Month 10:</w:t>
      </w:r>
      <w:r>
        <w:t xml:space="preserve"> </w:t>
      </w:r>
      <w:r>
        <w:t xml:space="preserve">Final report submission to Bangladesh Ministry of Finance</w:t>
      </w:r>
    </w:p>
    <w:bookmarkEnd w:id="26"/>
    <w:bookmarkStart w:id="27" w:name="conclusion"/>
    <w:p>
      <w:pPr>
        <w:pStyle w:val="Heading2"/>
      </w:pPr>
      <w:r>
        <w:t xml:space="preserve">8. Conclusion</w:t>
      </w:r>
    </w:p>
    <w:p>
      <w:pPr>
        <w:pStyle w:val="FirstParagraph"/>
      </w:pPr>
      <w:r>
        <w:t xml:space="preserve">The future of Bangladesh Dhaka's economic trajectory hinges on modernizing its accounting profession. This research proposal directly addresses the urgent need for a competent, tech-enabled accountant workforce capable of navigating Bangladesh's evolving financial landscape. By grounding our study in Dhaka's unique regulatory and technological context—not as a passive recipient of Western models but as an active participant in designing relevant solutions—we position Bangladesh to lead South Asia in accounting innovation. The findings will empower accountants across Dhaka to transition from data processors to strategic business partners, ultimately supporting Bangladesh's vision of becoming a $500 billion economy by 2031. This research is not merely an academic exercise; it is a critical investment in the financial infrastructure of Bangladesh's most dynamic city.</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Competencies of Accountants in Dhaka, Bangladesh</dc:title>
  <dc:creator/>
  <dc:language>en</dc:language>
  <cp:keywords/>
  <dcterms:created xsi:type="dcterms:W3CDTF">2026-07-21T03:23:42Z</dcterms:created>
  <dcterms:modified xsi:type="dcterms:W3CDTF">2026-07-21T03:23:42Z</dcterms:modified>
</cp:coreProperties>
</file>

<file path=docProps/custom.xml><?xml version="1.0" encoding="utf-8"?>
<Properties xmlns="http://schemas.openxmlformats.org/officeDocument/2006/custom-properties" xmlns:vt="http://schemas.openxmlformats.org/officeDocument/2006/docPropsVTypes"/>
</file>