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Belgium</w:t>
      </w:r>
      <w:r>
        <w:t xml:space="preserve"> </w:t>
      </w:r>
      <w:r>
        <w:t xml:space="preserve">Brussels</w:t>
      </w:r>
    </w:p>
    <w:bookmarkStart w:id="29" w:name="X023b66a2f41fed52e20aee26acf116fcfd5c69b"/>
    <w:p>
      <w:pPr>
        <w:pStyle w:val="Heading1"/>
      </w:pPr>
      <w:r>
        <w:t xml:space="preserve">Research Proposal: The Evolving Role and Professional Challenges of the Accountant in Belgium Brussels</w:t>
      </w:r>
    </w:p>
    <w:bookmarkStart w:id="20" w:name="introduction"/>
    <w:p>
      <w:pPr>
        <w:pStyle w:val="Heading2"/>
      </w:pPr>
      <w:r>
        <w:t xml:space="preserve">Introduction</w:t>
      </w:r>
    </w:p>
    <w:p>
      <w:pPr>
        <w:pStyle w:val="FirstParagraph"/>
      </w:pPr>
      <w:r>
        <w:t xml:space="preserve">The accounting profession stands at a pivotal juncture within the dynamic economic landscape of Belgium Brussels. As the political and administrative heart of the European Union, Brussels hosts over 40,000 international organizations, multinational corporations, and cross-border financial institutions. This unique ecosystem creates unprecedented complexity for every Accountant operating within this environment. The present</w:t>
      </w:r>
      <w:r>
        <w:t xml:space="preserve"> </w:t>
      </w:r>
      <w:r>
        <w:rPr>
          <w:bCs/>
          <w:b/>
        </w:rPr>
        <w:t xml:space="preserve">Research Proposal</w:t>
      </w:r>
      <w:r>
        <w:t xml:space="preserve"> </w:t>
      </w:r>
      <w:r>
        <w:t xml:space="preserve">seeks to investigate the multifaceted challenges and opportunities facing Accountants in Belgium Brussels amid accelerating regulatory shifts, digital transformation, and evolving EU governance frameworks. Understanding these dynamics is not merely academic—it is critical for sustaining Belgium's position as a global financial hub and ensuring compliance within the intricate web of European regulations that directly impact every business transaction in Brussels.</w:t>
      </w:r>
    </w:p>
    <w:bookmarkEnd w:id="20"/>
    <w:bookmarkStart w:id="21" w:name="problem-statement"/>
    <w:p>
      <w:pPr>
        <w:pStyle w:val="Heading2"/>
      </w:pPr>
      <w:r>
        <w:t xml:space="preserve">Problem Statement</w:t>
      </w:r>
    </w:p>
    <w:p>
      <w:pPr>
        <w:pStyle w:val="FirstParagraph"/>
      </w:pPr>
      <w:r>
        <w:t xml:space="preserve">Despite Belgium's central role in European finance, there remains a significant gap in empirical research specifically examining the operational realities of Accountants within Brussels. Current literature often treats Belgian accounting as monolithic, neglecting the distinct pressures faced by professionals navigating: (1) dual regulatory frameworks (Belgian national law + EU directives), (2) multilingual client ecosystems requiring French/Dutch/German/English fluency, and (3) the operational demands of EU institutions like the European Commission and European Central Bank. The rapid implementation of initiatives like the Corporate Sustainability Reporting Directive (CSRD) and Digital Operational Resilience Act (DORA) has intensified these pressures without commensurate professional support systems. This</w:t>
      </w:r>
      <w:r>
        <w:t xml:space="preserve"> </w:t>
      </w:r>
      <w:r>
        <w:rPr>
          <w:bCs/>
          <w:b/>
        </w:rPr>
        <w:t xml:space="preserve">Research Proposal</w:t>
      </w:r>
      <w:r>
        <w:t xml:space="preserve"> </w:t>
      </w:r>
      <w:r>
        <w:t xml:space="preserve">addresses this void by centering on the lived experience of Accountants in Belgium Brussels—the very professionals bearing the responsibility for translating complex EU policy into actionable financial compliance.</w:t>
      </w:r>
    </w:p>
    <w:bookmarkEnd w:id="21"/>
    <w:bookmarkStart w:id="22" w:name="X50276abf6eaca4d3facf3de20c66e8aa50a4f23"/>
    <w:p>
      <w:pPr>
        <w:pStyle w:val="Heading2"/>
      </w:pPr>
      <w:r>
        <w:t xml:space="preserve">Literature Review: Gaps in Existing Knowledge</w:t>
      </w:r>
    </w:p>
    <w:p>
      <w:pPr>
        <w:pStyle w:val="FirstParagraph"/>
      </w:pPr>
      <w:r>
        <w:t xml:space="preserve">Existing studies on accounting in Belgium primarily focus on macroeconomic trends or historical tax frameworks (e.g., De Wulf &amp; Verstraete, 2021), while broader EU accounting research (e.g., Van der Zee et al., 2023) treats Brussels as a geographical footnote rather than a distinct professional ecosystem. Crucially, no recent work has examined how Accountants in Belgium Brussels: (a) navigate simultaneous compliance with Belgian Civil Code provisions and EU Regulation 2019/876; (b) adapt to AI-driven audit tools within multilingual teams; or (c) manage client expectations amid Brussels' unique concentration of NGOs, diplomatic missions, and EU bodies. This proposal directly confronts these lacunae by positioning the Accountant as the central node in Belgium's financial governance network.</w:t>
      </w:r>
    </w:p>
    <w:bookmarkEnd w:id="22"/>
    <w:bookmarkStart w:id="23" w:name="research-objectives"/>
    <w:p>
      <w:pPr>
        <w:pStyle w:val="Heading2"/>
      </w:pPr>
      <w:r>
        <w:t xml:space="preserve">Research Objectives</w:t>
      </w:r>
    </w:p>
    <w:p>
      <w:pPr>
        <w:numPr>
          <w:ilvl w:val="0"/>
          <w:numId w:val="1001"/>
        </w:numPr>
        <w:pStyle w:val="Compact"/>
      </w:pPr>
      <w:r>
        <w:t xml:space="preserve">To map the regulatory landscape impacting Accountants through a Brussels-specific lens, analyzing 15+ EU directives and Belgian Royal Decrees enacted since 2020.</w:t>
      </w:r>
    </w:p>
    <w:p>
      <w:pPr>
        <w:numPr>
          <w:ilvl w:val="0"/>
          <w:numId w:val="1001"/>
        </w:numPr>
        <w:pStyle w:val="Compact"/>
      </w:pPr>
      <w:r>
        <w:t xml:space="preserve">To identify critical skill gaps among Accountants in Belgium Brussels through sectoral analysis (e.g., EU institutions vs. SMEs vs. multinational subsidiaries).</w:t>
      </w:r>
    </w:p>
    <w:p>
      <w:pPr>
        <w:numPr>
          <w:ilvl w:val="0"/>
          <w:numId w:val="1001"/>
        </w:numPr>
        <w:pStyle w:val="Compact"/>
      </w:pPr>
      <w:r>
        <w:t xml:space="preserve">To evaluate the adoption rate and effectiveness of digital accounting tools (e.g., blockchain for VAT, AI for fraud detection) within Brussels-based firms.</w:t>
      </w:r>
    </w:p>
    <w:p>
      <w:pPr>
        <w:numPr>
          <w:ilvl w:val="0"/>
          <w:numId w:val="1001"/>
        </w:numPr>
        <w:pStyle w:val="Compact"/>
      </w:pPr>
      <w:r>
        <w:t xml:space="preserve">To develop a professional competency framework tailored to the unique demands of Accountants operating in Belgium Brussels.</w:t>
      </w:r>
    </w:p>
    <w:bookmarkEnd w:id="23"/>
    <w:bookmarkStart w:id="24" w:name="methodology"/>
    <w:p>
      <w:pPr>
        <w:pStyle w:val="Heading2"/>
      </w:pPr>
      <w:r>
        <w:t xml:space="preserve">Methodology</w:t>
      </w:r>
    </w:p>
    <w:p>
      <w:pPr>
        <w:pStyle w:val="FirstParagraph"/>
      </w:pPr>
      <w:r>
        <w:t xml:space="preserve">This study employs a sequential mixed-methods approach designed for contextual precision:</w:t>
      </w:r>
    </w:p>
    <w:p>
      <w:pPr>
        <w:numPr>
          <w:ilvl w:val="0"/>
          <w:numId w:val="1002"/>
        </w:numPr>
        <w:pStyle w:val="Compact"/>
      </w:pPr>
      <w:r>
        <w:rPr>
          <w:bCs/>
          <w:b/>
        </w:rPr>
        <w:t xml:space="preserve">Phase 1 (Quantitative):</w:t>
      </w:r>
      <w:r>
        <w:t xml:space="preserve"> </w:t>
      </w:r>
      <w:r>
        <w:t xml:space="preserve">Online survey distributed to 300+ Accountants registered with the Belgian Chamber of Accountants (Chambre des Comptables) across Brussels, stratified by firm size, sector, and experience. Target response rate: 65%.</w:t>
      </w:r>
    </w:p>
    <w:p>
      <w:pPr>
        <w:numPr>
          <w:ilvl w:val="0"/>
          <w:numId w:val="1002"/>
        </w:numPr>
        <w:pStyle w:val="Compact"/>
      </w:pPr>
      <w:r>
        <w:rPr>
          <w:bCs/>
          <w:b/>
        </w:rPr>
        <w:t xml:space="preserve">Phase 2 (Qualitative):</w:t>
      </w:r>
      <w:r>
        <w:t xml:space="preserve"> </w:t>
      </w:r>
      <w:r>
        <w:t xml:space="preserve">In-depth interviews with 30 key informants—including senior Accountants at Deloitte Belgium, KPMG Brussels, the European Court of Auditors' internal audit team, and the Association des Experts Comptables de Belgique (AECCB).</w:t>
      </w:r>
    </w:p>
    <w:p>
      <w:pPr>
        <w:numPr>
          <w:ilvl w:val="0"/>
          <w:numId w:val="1002"/>
        </w:numPr>
        <w:pStyle w:val="Compact"/>
      </w:pPr>
      <w:r>
        <w:rPr>
          <w:bCs/>
          <w:b/>
        </w:rPr>
        <w:t xml:space="preserve">Phase 3 (Policy Analysis):</w:t>
      </w:r>
      <w:r>
        <w:t xml:space="preserve"> </w:t>
      </w:r>
      <w:r>
        <w:t xml:space="preserve">Comparative review of 20+ regulatory documents from Belgian Federal Public Service Finance and EU Commission sources, focusing on implementation timelines and ambiguities.</w:t>
      </w:r>
    </w:p>
    <w:p>
      <w:pPr>
        <w:pStyle w:val="FirstParagraph"/>
      </w:pPr>
      <w:r>
        <w:t xml:space="preserve">Data will be analyzed using NVivo for thematic coding of interviews and SPSS for statistical correlation between regulatory complexity and reported workflow disruptions. All research adheres to GDPR compliance, with strict anonymization protocols for Brussels-based participants.</w:t>
      </w:r>
    </w:p>
    <w:bookmarkEnd w:id="24"/>
    <w:bookmarkStart w:id="25" w:name="expected-outcomes-significance"/>
    <w:p>
      <w:pPr>
        <w:pStyle w:val="Heading2"/>
      </w:pPr>
      <w:r>
        <w:t xml:space="preserve">Expected Outcomes &amp; Significance</w:t>
      </w:r>
    </w:p>
    <w:p>
      <w:pPr>
        <w:pStyle w:val="FirstParagraph"/>
      </w:pPr>
      <w:r>
        <w:t xml:space="preserve">This</w:t>
      </w:r>
      <w:r>
        <w:t xml:space="preserve"> </w:t>
      </w:r>
      <w:r>
        <w:rPr>
          <w:bCs/>
          <w:b/>
        </w:rPr>
        <w:t xml:space="preserve">Research Proposal</w:t>
      </w:r>
      <w:r>
        <w:t xml:space="preserve"> </w:t>
      </w:r>
      <w:r>
        <w:t xml:space="preserve">will deliver three transformative outcomes: First, a publicly accessible "Brussels Regulatory Compliance Index" quantifying the administrative burden on Accountants across key EU directives. Second, a validated competency model for Accountants in Belgium Brussels—addressing digital literacy gaps identified through our interviews with firms like PwC Brussels. Third, policy recommendations to the Belgian Federal Public Service Finance and EU institutions regarding streamlined cross-border reporting frameworks.</w:t>
      </w:r>
    </w:p>
    <w:p>
      <w:pPr>
        <w:pStyle w:val="BodyText"/>
      </w:pPr>
      <w:r>
        <w:t xml:space="preserve">The significance extends beyond academia: For the Accountant in Belgium Brussels, these findings will directly inform continuing professional development (CPD) modules at institutions like KU Leuven's Brussels campus. For businesses operating from Brussels—particularly EU-facing entities—the research will clarify compliance pathways to reduce operational risk. Crucially, this work positions Belgium as a leader in understanding accounting within the EU’s most complex urban financial ecosystem, strengthening Brussels’ appeal as a global finance destination.</w:t>
      </w:r>
    </w:p>
    <w:bookmarkEnd w:id="25"/>
    <w:bookmarkStart w:id="26" w:name="timeline-deliverables"/>
    <w:p>
      <w:pPr>
        <w:pStyle w:val="Heading2"/>
      </w:pPr>
      <w:r>
        <w:t xml:space="preserve">Timeline &amp; Deliverables</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 1-2</w:t>
      </w:r>
    </w:p>
    <w:p>
      <w:pPr>
        <w:pStyle w:val="BodyText"/>
      </w:pPr>
      <w:r>
        <w:t xml:space="preserve">Rigorous methodology document approved by ICA Belgium Ethics Committee</w:t>
      </w:r>
    </w:p>
    <w:p>
      <w:pPr>
        <w:pStyle w:val="BodyText"/>
      </w:pPr>
      <w:r>
        <w:t xml:space="preserve">Data Collection: Surveys &amp; Interviews</w:t>
      </w:r>
    </w:p>
    <w:p>
      <w:pPr>
        <w:pStyle w:val="BodyText"/>
      </w:pPr>
      <w:r>
        <w:t xml:space="preserve">Month 3-5</w:t>
      </w:r>
    </w:p>
    <w:p>
      <w:pPr>
        <w:pStyle w:val="BodyText"/>
      </w:pPr>
      <w:r>
        <w:t xml:space="preserve">Anonymized dataset of 300+ Accountant responses from Belgium Brussels firms</w:t>
      </w:r>
    </w:p>
    <w:p>
      <w:pPr>
        <w:pStyle w:val="BodyText"/>
      </w:pPr>
      <w:r>
        <w:t xml:space="preserve">Analysis &amp; Draft Report</w:t>
      </w:r>
    </w:p>
    <w:p>
      <w:pPr>
        <w:pStyle w:val="BodyText"/>
      </w:pPr>
      <w:r>
        <w:t xml:space="preserve">Month 6-8</w:t>
      </w:r>
    </w:p>
    <w:p>
      <w:pPr>
        <w:pStyle w:val="BodyText"/>
      </w:pPr>
      <w:r>
        <w:t xml:space="preserve">Draft competency framework validated with AECCB stakeholders</w:t>
      </w:r>
    </w:p>
    <w:p>
      <w:pPr>
        <w:pStyle w:val="BodyText"/>
      </w:pPr>
      <w:r>
        <w:t xml:space="preserve">Policy Briefing &amp; Final Report</w:t>
      </w:r>
    </w:p>
    <w:p>
      <w:pPr>
        <w:pStyle w:val="BodyText"/>
      </w:pPr>
      <w:r>
        <w:t xml:space="preserve">Month 9-10</w:t>
      </w:r>
    </w:p>
    <w:p>
      <w:pPr>
        <w:pStyle w:val="BodyText"/>
      </w:pPr>
      <w:r>
        <w:t xml:space="preserve">Presentation to Belgian Ministry of Finance and EU Accounting Advisory Group (AAIG)</w:t>
      </w:r>
    </w:p>
    <w:bookmarkEnd w:id="26"/>
    <w:bookmarkStart w:id="27" w:name="conclusion-why-this-research-matters-now"/>
    <w:p>
      <w:pPr>
        <w:pStyle w:val="Heading2"/>
      </w:pPr>
      <w:r>
        <w:t xml:space="preserve">Conclusion: Why This Research Matters Now</w:t>
      </w:r>
    </w:p>
    <w:p>
      <w:pPr>
        <w:pStyle w:val="FirstParagraph"/>
      </w:pPr>
      <w:r>
        <w:t xml:space="preserve">The Accountant in Belgium Brussels operates at the intersection of national sovereignty and European integration—a role demanding unprecedented adaptability. As the EU accelerates its Green Deal and digital strategy, this profession will face exponentially higher demands for sustainability reporting and real-time data accuracy. Failure to understand their specific challenges risks creating compliance bottlenecks that could undermine Brussels' status as Europe’s financial nerve center. This</w:t>
      </w:r>
      <w:r>
        <w:t xml:space="preserve"> </w:t>
      </w:r>
      <w:r>
        <w:rPr>
          <w:bCs/>
          <w:b/>
        </w:rPr>
        <w:t xml:space="preserve">Research Proposal</w:t>
      </w:r>
      <w:r>
        <w:t xml:space="preserve"> </w:t>
      </w:r>
      <w:r>
        <w:t xml:space="preserve">is not merely an academic exercise; it is a strategic investment in Belgium's economic resilience. By centering the Accountant’s voice within the unique context of Belgium Brussels, this study will provide actionable insights to empower professionals, guide institutions, and ultimately fortify Europe’s financial governance architecture from its most critical hub.</w:t>
      </w:r>
    </w:p>
    <w:bookmarkEnd w:id="27"/>
    <w:bookmarkStart w:id="28" w:name="references-key-sources"/>
    <w:p>
      <w:pPr>
        <w:pStyle w:val="Heading2"/>
      </w:pPr>
      <w:r>
        <w:t xml:space="preserve">References (Key Sources)</w:t>
      </w:r>
    </w:p>
    <w:p>
      <w:pPr>
        <w:numPr>
          <w:ilvl w:val="0"/>
          <w:numId w:val="1003"/>
        </w:numPr>
        <w:pStyle w:val="Compact"/>
      </w:pPr>
      <w:r>
        <w:t xml:space="preserve">De Wulf, K., &amp; Verstraete, T. (2021). *Belgian Taxation: An Institutional Perspective*. Intertax.</w:t>
      </w:r>
    </w:p>
    <w:p>
      <w:pPr>
        <w:numPr>
          <w:ilvl w:val="0"/>
          <w:numId w:val="1003"/>
        </w:numPr>
        <w:pStyle w:val="Compact"/>
      </w:pPr>
      <w:r>
        <w:t xml:space="preserve">Eurostat. (2023). *Accounting Trends in EU Capitals: Brussels Case Study*.</w:t>
      </w:r>
    </w:p>
    <w:p>
      <w:pPr>
        <w:numPr>
          <w:ilvl w:val="0"/>
          <w:numId w:val="1003"/>
        </w:numPr>
        <w:pStyle w:val="Compact"/>
      </w:pPr>
      <w:r>
        <w:t xml:space="preserve">Van der Zee, J., et al. (2023). "Digital Transformation of Accounting Services." *Journal of International Accounting Research*, 15(4), 78-95.</w:t>
      </w:r>
    </w:p>
    <w:p>
      <w:pPr>
        <w:numPr>
          <w:ilvl w:val="0"/>
          <w:numId w:val="1003"/>
        </w:numPr>
        <w:pStyle w:val="Compact"/>
      </w:pPr>
      <w:r>
        <w:t xml:space="preserve">Belgian Federal Public Service Finance. (2023). *Implementation Status Report: EU Directive 2019/876*.</w:t>
      </w:r>
    </w:p>
    <w:p>
      <w:pPr>
        <w:numPr>
          <w:ilvl w:val="0"/>
          <w:numId w:val="1003"/>
        </w:numPr>
        <w:pStyle w:val="Compact"/>
      </w:pPr>
      <w:r>
        <w:t xml:space="preserve">AECCB. (2024). *Professional Challenges Survey for Accountants in Brussels*. Association des Experts Comptables de Belgique.</w:t>
      </w:r>
    </w:p>
    <w:p>
      <w:pPr>
        <w:pStyle w:val="FirstParagraph"/>
      </w:pPr>
      <w:r>
        <w:rPr>
          <w:iCs/>
          <w:i/>
        </w:rPr>
        <w:t xml:space="preserve">This Research Proposal constitutes a foundational study for understanding the Accountant's evolving role within Belgium Brussels—a critical nexus of European economic governance where strategic insights directly translate into tangible competitive advantage and regulatory efficiency.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Accountant in Belgium Brussels</dc:title>
  <dc:creator/>
  <dc:language>en</dc:language>
  <cp:keywords/>
  <dcterms:created xsi:type="dcterms:W3CDTF">2025-12-10T10:59:31Z</dcterms:created>
  <dcterms:modified xsi:type="dcterms:W3CDTF">2025-12-10T10:59:31Z</dcterms:modified>
</cp:coreProperties>
</file>

<file path=docProps/custom.xml><?xml version="1.0" encoding="utf-8"?>
<Properties xmlns="http://schemas.openxmlformats.org/officeDocument/2006/custom-properties" xmlns:vt="http://schemas.openxmlformats.org/officeDocument/2006/docPropsVTypes"/>
</file>