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0" w:name="Xb9146d1671218e91f6518c9427f5c7a10f134c0"/>
    <w:p>
      <w:pPr>
        <w:pStyle w:val="Heading1"/>
      </w:pPr>
      <w:r>
        <w:t xml:space="preserve">Research Proposal: The Evolving Role of the Accountant in China Beijing's Dynamic Economic Landscape</w:t>
      </w:r>
    </w:p>
    <w:p>
      <w:pPr>
        <w:pStyle w:val="FirstParagraph"/>
      </w:pPr>
      <w:r>
        <w:rPr>
          <w:bCs/>
          <w:b/>
        </w:rPr>
        <w:t xml:space="preserve">Introduction:</w:t>
      </w:r>
    </w:p>
    <w:p>
      <w:pPr>
        <w:pStyle w:val="BodyText"/>
      </w:pPr>
      <w:r>
        <w:t xml:space="preserve">The rapid economic transformation of China, particularly within its capital city Beijing, has fundamentally reshaped professional landscapes. This</w:t>
      </w:r>
      <w:r>
        <w:t xml:space="preserve"> </w:t>
      </w:r>
      <w:r>
        <w:rPr>
          <w:iCs/>
          <w:i/>
        </w:rPr>
        <w:t xml:space="preserve">Research Proposal</w:t>
      </w:r>
      <w:r>
        <w:t xml:space="preserve"> </w:t>
      </w:r>
      <w:r>
        <w:t xml:space="preserve">focuses on the critical yet evolving role of the Accountant in China Beijing—a nexus of global finance, innovation, and regulatory complexity. As Beijing solidifies its position as Asia's premier financial hub and host to multinational corporations, state-owned enterprises (SOEs), and burgeoning tech startups, the responsibilities of the modern Accountant transcend traditional bookkeeping. This study addresses a pressing gap: how the Accountant profession adapts to Beijing's unique confluence of stringent regulatory frameworks (e.g., China Accounting Standards for Business Enterprises - CAS), digital innovation (AI, blockchain in finance), and international compliance demands. Understanding this evolution is not merely academic—it is vital for economic stability, investment confidence, and sustainable growth in China Beijing.</w:t>
      </w:r>
    </w:p>
    <w:p>
      <w:pPr>
        <w:pStyle w:val="BodyText"/>
      </w:pPr>
      <w:r>
        <w:rPr>
          <w:bCs/>
          <w:b/>
        </w:rPr>
        <w:t xml:space="preserve">Background and Problem Statement:</w:t>
      </w:r>
    </w:p>
    <w:p>
      <w:pPr>
        <w:pStyle w:val="BodyText"/>
      </w:pPr>
      <w:r>
        <w:t xml:space="preserve">China's economy has grown at an unprecedented pace, with Beijing serving as the epicenter of policy formulation and financial activity. However, the Accountant profession faces mounting pressures: harmonizing CAS with International Financial Reporting Standards (IFRS), navigating China's evolving tax policies (e.g., digital service taxation), and managing data security under stringent cybersecurity laws like the Personal Information Protection Law (PIPL). Current literature largely focuses on macroeconomic trends or isolated regulatory changes but neglects the</w:t>
      </w:r>
      <w:r>
        <w:t xml:space="preserve"> </w:t>
      </w:r>
      <w:r>
        <w:rPr>
          <w:iCs/>
          <w:i/>
        </w:rPr>
        <w:t xml:space="preserve">on-the-ground experience</w:t>
      </w:r>
      <w:r>
        <w:t xml:space="preserve"> </w:t>
      </w:r>
      <w:r>
        <w:t xml:space="preserve">of Accountants in Beijing. This disconnect creates a critical void: without empirical insights into how Accountants navigate these challenges daily, policy recommendations remain theoretical, and professional development strategies lack context-specific relevance. A targeted</w:t>
      </w:r>
      <w:r>
        <w:t xml:space="preserve"> </w:t>
      </w:r>
      <w:r>
        <w:rPr>
          <w:iCs/>
          <w:i/>
        </w:rPr>
        <w:t xml:space="preserve">Research Proposal</w:t>
      </w:r>
      <w:r>
        <w:t xml:space="preserve"> </w:t>
      </w:r>
      <w:r>
        <w:t xml:space="preserve">is therefore essential to bridge this gap.</w:t>
      </w:r>
    </w:p>
    <w:p>
      <w:pPr>
        <w:pStyle w:val="BodyText"/>
      </w:pPr>
      <w:r>
        <w:rPr>
          <w:bCs/>
          <w:b/>
        </w:rPr>
        <w:t xml:space="preserve">Research Objectives:</w:t>
      </w:r>
    </w:p>
    <w:p>
      <w:pPr>
        <w:numPr>
          <w:ilvl w:val="0"/>
          <w:numId w:val="1001"/>
        </w:numPr>
        <w:pStyle w:val="Compact"/>
      </w:pPr>
      <w:r>
        <w:t xml:space="preserve">To analyze the regulatory compliance challenges faced by Accountants operating within China Beijing's institutional ecosystem, including SOEs, foreign subsidiaries, and local enterprises.</w:t>
      </w:r>
    </w:p>
    <w:p>
      <w:pPr>
        <w:numPr>
          <w:ilvl w:val="0"/>
          <w:numId w:val="1001"/>
        </w:numPr>
        <w:pStyle w:val="Compact"/>
      </w:pPr>
      <w:r>
        <w:t xml:space="preserve">To assess the impact of digital transformation (e.g., automated accounting software, AI-driven analytics) on core accounting functions in Beijing-based firms.</w:t>
      </w:r>
    </w:p>
    <w:p>
      <w:pPr>
        <w:numPr>
          <w:ilvl w:val="0"/>
          <w:numId w:val="1001"/>
        </w:numPr>
        <w:pStyle w:val="Compact"/>
      </w:pPr>
      <w:r>
        <w:t xml:space="preserve">To evaluate the evolving skill requirements for Accountants in China Beijing—from technical proficiency to cross-cultural communication and data governance.</w:t>
      </w:r>
    </w:p>
    <w:p>
      <w:pPr>
        <w:numPr>
          <w:ilvl w:val="0"/>
          <w:numId w:val="1001"/>
        </w:numPr>
        <w:pStyle w:val="Compact"/>
      </w:pPr>
      <w:r>
        <w:t xml:space="preserve">To develop evidence-based recommendations for educational institutions, professional bodies (e.g., Chinese Institute of Certified Public Accountants - CICPA), and policymakers to future-proof the profession.</w:t>
      </w:r>
    </w:p>
    <w:p>
      <w:pPr>
        <w:pStyle w:val="FirstParagraph"/>
      </w:pPr>
      <w:r>
        <w:rPr>
          <w:bCs/>
          <w:b/>
        </w:rPr>
        <w:t xml:space="preserve">Literature Review:</w:t>
      </w:r>
    </w:p>
    <w:p>
      <w:pPr>
        <w:pStyle w:val="BodyText"/>
      </w:pPr>
      <w:r>
        <w:t xml:space="preserve">Existing scholarship on accounting in China highlights structural shifts driven by globalization (Wang &amp; Liu, 2021). Studies on CAS adoption (Zhang, 2023) and SOE financial reporting (Chen et al., 2022) provide foundational insights but rarely center Beijing's unique urban dynamics. Crucially, no research has examined how Accountants in China Beijing—where foreign firms constitute ~45% of major financial players (Beijing Municipal Bureau of Statistics, 2023)—balance local regulations with global standards amid AI integration. This proposal fills that void by prioritizing the Accountant's lived experience in China's most complex business environment.</w:t>
      </w:r>
    </w:p>
    <w:p>
      <w:pPr>
        <w:pStyle w:val="BodyText"/>
      </w:pPr>
      <w:r>
        <w:rPr>
          <w:bCs/>
          <w:b/>
        </w:rPr>
        <w:t xml:space="preserve">Methodology:</w:t>
      </w:r>
    </w:p>
    <w:p>
      <w:pPr>
        <w:pStyle w:val="BodyText"/>
      </w:pPr>
      <w:r>
        <w:t xml:space="preserve">This mixed-methods study employs a sequential explanatory design, combining quantitative and qualitative approaches for robust insights:</w:t>
      </w:r>
    </w:p>
    <w:p>
      <w:pPr>
        <w:numPr>
          <w:ilvl w:val="0"/>
          <w:numId w:val="1002"/>
        </w:numPr>
        <w:pStyle w:val="Compact"/>
      </w:pPr>
      <w:r>
        <w:rPr>
          <w:iCs/>
          <w:i/>
        </w:rPr>
        <w:t xml:space="preserve">Phase 1 (Quantitative):</w:t>
      </w:r>
      <w:r>
        <w:t xml:space="preserve"> </w:t>
      </w:r>
      <w:r>
        <w:t xml:space="preserve">A structured survey targeting 300+ practicing Accountants across Beijing-based firms (25% SOEs, 40% foreign MNCs, 35% domestic SMEs). Key metrics include compliance workload hours, technology adoption rates, and perceived skill gaps.</w:t>
      </w:r>
    </w:p>
    <w:p>
      <w:pPr>
        <w:numPr>
          <w:ilvl w:val="0"/>
          <w:numId w:val="1002"/>
        </w:numPr>
        <w:pStyle w:val="Compact"/>
      </w:pPr>
      <w:r>
        <w:rPr>
          <w:iCs/>
          <w:i/>
        </w:rPr>
        <w:t xml:space="preserve">Phase 2 (Qualitative):</w:t>
      </w:r>
      <w:r>
        <w:t xml:space="preserve"> </w:t>
      </w:r>
      <w:r>
        <w:t xml:space="preserve">Semi-structured interviews with 30 key informants—senior Accountants from firms like PwC Beijing, CICPA regulators, and industry associations—to explore nuanced challenges (e.g., navigating "dual compliance" with CAS/IFRS).</w:t>
      </w:r>
    </w:p>
    <w:p>
      <w:pPr>
        <w:numPr>
          <w:ilvl w:val="0"/>
          <w:numId w:val="1002"/>
        </w:numPr>
        <w:pStyle w:val="Compact"/>
      </w:pPr>
      <w:r>
        <w:rPr>
          <w:iCs/>
          <w:i/>
        </w:rPr>
        <w:t xml:space="preserve">Data Analysis:</w:t>
      </w:r>
      <w:r>
        <w:t xml:space="preserve"> </w:t>
      </w:r>
      <w:r>
        <w:t xml:space="preserve">Quantitative data analyzed via SPSS (descriptive statistics, regression); qualitative data subjected to thematic analysis using NVivo. Triangulation ensures validity.</w:t>
      </w:r>
    </w:p>
    <w:p>
      <w:pPr>
        <w:pStyle w:val="FirstParagraph"/>
      </w:pPr>
      <w:r>
        <w:rPr>
          <w:bCs/>
          <w:b/>
        </w:rPr>
        <w:t xml:space="preserve">Significance of the Research:</w:t>
      </w:r>
    </w:p>
    <w:p>
      <w:pPr>
        <w:pStyle w:val="BodyText"/>
      </w:pPr>
      <w:r>
        <w:t xml:space="preserve">This</w:t>
      </w:r>
      <w:r>
        <w:t xml:space="preserve"> </w:t>
      </w:r>
      <w:r>
        <w:rPr>
          <w:iCs/>
          <w:i/>
        </w:rPr>
        <w:t xml:space="preserve">Research Proposal</w:t>
      </w:r>
      <w:r>
        <w:t xml:space="preserve"> </w:t>
      </w:r>
      <w:r>
        <w:t xml:space="preserve">holds strategic importance for multiple stakeholders in China Beijing:</w:t>
      </w:r>
    </w:p>
    <w:p>
      <w:pPr>
        <w:numPr>
          <w:ilvl w:val="0"/>
          <w:numId w:val="1003"/>
        </w:numPr>
        <w:pStyle w:val="Compact"/>
      </w:pPr>
      <w:r>
        <w:rPr>
          <w:bCs/>
          <w:b/>
        </w:rPr>
        <w:t xml:space="preserve">Economic Stability:</w:t>
      </w:r>
      <w:r>
        <w:t xml:space="preserve"> </w:t>
      </w:r>
      <w:r>
        <w:t xml:space="preserve">By identifying compliance bottlenecks (e.g., tax reporting delays affecting SOE investments), findings will inform policies that streamline financial operations in the capital.</w:t>
      </w:r>
    </w:p>
    <w:p>
      <w:pPr>
        <w:numPr>
          <w:ilvl w:val="0"/>
          <w:numId w:val="1003"/>
        </w:numPr>
        <w:pStyle w:val="Compact"/>
      </w:pPr>
      <w:r>
        <w:rPr>
          <w:bCs/>
          <w:b/>
        </w:rPr>
        <w:t xml:space="preserve">Professional Development:</w:t>
      </w:r>
      <w:r>
        <w:t xml:space="preserve"> </w:t>
      </w:r>
      <w:r>
        <w:t xml:space="preserve">Data on emerging skill needs (e.g., data analytics, ESG reporting) will guide CICPA’s certification programs and university curricula to align with Beijing's market demands.</w:t>
      </w:r>
    </w:p>
    <w:p>
      <w:pPr>
        <w:numPr>
          <w:ilvl w:val="0"/>
          <w:numId w:val="1003"/>
        </w:numPr>
        <w:pStyle w:val="Compact"/>
      </w:pPr>
      <w:r>
        <w:rPr>
          <w:bCs/>
          <w:b/>
        </w:rPr>
        <w:t xml:space="preserve">Global Competitiveness:</w:t>
      </w:r>
      <w:r>
        <w:t xml:space="preserve"> </w:t>
      </w:r>
      <w:r>
        <w:t xml:space="preserve">Understanding how Accountants in China Beijing manage cross-border transactions will attract foreign investment by demonstrating a resilient, adaptive financial infrastructure.</w:t>
      </w:r>
    </w:p>
    <w:p>
      <w:pPr>
        <w:numPr>
          <w:ilvl w:val="0"/>
          <w:numId w:val="1003"/>
        </w:numPr>
        <w:pStyle w:val="Compact"/>
      </w:pPr>
      <w:r>
        <w:rPr>
          <w:bCs/>
          <w:b/>
        </w:rPr>
        <w:t xml:space="preserve">Social Impact:</w:t>
      </w:r>
      <w:r>
        <w:t xml:space="preserve"> </w:t>
      </w:r>
      <w:r>
        <w:t xml:space="preserve">Reducing accounting errors through targeted training can enhance corporate transparency, bolstering public trust in Beijing’s financial ecosystem.</w:t>
      </w:r>
    </w:p>
    <w:p>
      <w:pPr>
        <w:pStyle w:val="FirstParagraph"/>
      </w:pPr>
      <w:r>
        <w:rPr>
          <w:bCs/>
          <w:b/>
        </w:rPr>
        <w:t xml:space="preserve">Timeline and Feasibility:</w:t>
      </w:r>
    </w:p>
    <w:p>
      <w:pPr>
        <w:pStyle w:val="BodyText"/>
      </w:pPr>
      <w:r>
        <w:t xml:space="preserve">The 18-month project leverages established partnerships: The Chinese Accounting Association (Beijing Chapter) will facilitate access to firms, while Tsinghua University's School of Economics &amp; Management provides research infrastructure. Phase 1 (Months 1-6) secures ethics approval and administers surveys; Phase 2 (Months 7-15) conducts interviews and analysis; Month 16-18 finalizes the policy report. Beijing's accessibility for fieldwork, coupled with strong local institutional support, ensures feasibility.</w:t>
      </w:r>
    </w:p>
    <w:p>
      <w:pPr>
        <w:pStyle w:val="BodyText"/>
      </w:pPr>
      <w:r>
        <w:rPr>
          <w:bCs/>
          <w:b/>
        </w:rPr>
        <w:t xml:space="preserve">Expected Outcomes:</w:t>
      </w:r>
    </w:p>
    <w:p>
      <w:pPr>
        <w:pStyle w:val="BodyText"/>
      </w:pPr>
      <w:r>
        <w:t xml:space="preserve">We anticipate three concrete deliverables: (1) A comprehensive dataset on Accountant workflow challenges in China Beijing; (2) A skills-mapping framework identifying priority competencies for the 2030 workforce; and (3) A policy brief co-authored with CICPA, proposing streamlined compliance protocols for Beijing's financial district. These outcomes will directly influence the National Accounting Standards Committee’s next revision cycle, ensuring they reflect real-world practice in China Beijing.</w:t>
      </w:r>
    </w:p>
    <w:p>
      <w:pPr>
        <w:pStyle w:val="BodyText"/>
      </w:pPr>
      <w:r>
        <w:rPr>
          <w:bCs/>
          <w:b/>
        </w:rPr>
        <w:t xml:space="preserve">Conclusion:</w:t>
      </w:r>
    </w:p>
    <w:p>
      <w:pPr>
        <w:pStyle w:val="BodyText"/>
      </w:pPr>
      <w:r>
        <w:t xml:space="preserve">The Accountant is no longer a back-office function in China Beijing—it is a strategic asset driving economic resilience and innovation. This</w:t>
      </w:r>
      <w:r>
        <w:t xml:space="preserve"> </w:t>
      </w:r>
      <w:r>
        <w:rPr>
          <w:iCs/>
          <w:i/>
        </w:rPr>
        <w:t xml:space="preserve">Research Proposal</w:t>
      </w:r>
      <w:r>
        <w:t xml:space="preserve"> </w:t>
      </w:r>
      <w:r>
        <w:t xml:space="preserve">offers the first granular examination of how the Accountant navigates regulatory, technological, and cultural complexities within China's most influential financial hub. By centering Beijing’s unique context, this study transcends academic exercise to deliver actionable intelligence for policymakers, educators, and professionals shaping China’s future economy. In an era where accurate financial reporting underpins national competitiveness, investing in understanding the Accountant's evolving role is not optional—it is foundational.</w:t>
      </w:r>
    </w:p>
    <w:p>
      <w:pPr>
        <w:pStyle w:val="BodyText"/>
      </w:pPr>
      <w:r>
        <w:rPr>
          <w:bCs/>
          <w:b/>
        </w:rPr>
        <w:t xml:space="preserve">References (Selected):</w:t>
      </w:r>
    </w:p>
    <w:p>
      <w:pPr>
        <w:numPr>
          <w:ilvl w:val="0"/>
          <w:numId w:val="1004"/>
        </w:numPr>
        <w:pStyle w:val="Compact"/>
      </w:pPr>
      <w:r>
        <w:t xml:space="preserve">Beijing Municipal Bureau of Statistics. (2023). *Economic Report on Beijing’s Financial Sector*. Retrieved from www.bjstats.gov.cn</w:t>
      </w:r>
    </w:p>
    <w:p>
      <w:pPr>
        <w:numPr>
          <w:ilvl w:val="0"/>
          <w:numId w:val="1004"/>
        </w:numPr>
        <w:pStyle w:val="Compact"/>
      </w:pPr>
      <w:r>
        <w:t xml:space="preserve">Chen, L., et al. (2022). "SOE Accountability in China: A CAS Perspective." *Journal of Accounting in Emerging Economies*, 12(3), 45-67.</w:t>
      </w:r>
    </w:p>
    <w:p>
      <w:pPr>
        <w:numPr>
          <w:ilvl w:val="0"/>
          <w:numId w:val="1004"/>
        </w:numPr>
        <w:pStyle w:val="Compact"/>
      </w:pPr>
      <w:r>
        <w:t xml:space="preserve">Zhang, W. (2023). "CAS Adoption and Compliance Costs: Evidence from Beijing Firms." *Asian Review of Accounting*, 31(1), 112-130.</w:t>
      </w:r>
    </w:p>
    <w:p>
      <w:pPr>
        <w:numPr>
          <w:ilvl w:val="0"/>
          <w:numId w:val="1004"/>
        </w:numPr>
        <w:pStyle w:val="Compact"/>
      </w:pPr>
      <w:r>
        <w:t xml:space="preserve">Wang, Y., &amp; Liu, J. (2021). "Globalization and the Chinese Accountant." *International Journal of Accounting*, 56(4), 789-805.</w:t>
      </w:r>
    </w:p>
    <w:p>
      <w:pPr>
        <w:pStyle w:val="FirstParagraph"/>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China Beijing</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