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Regulatory</w:t>
      </w:r>
      <w:r>
        <w:t xml:space="preserve"> </w:t>
      </w:r>
      <w:r>
        <w:t xml:space="preserve">Adaptation</w:t>
      </w:r>
      <w:r>
        <w:t xml:space="preserve"> </w:t>
      </w:r>
      <w:r>
        <w:t xml:space="preserve">of</w:t>
      </w:r>
      <w:r>
        <w:t xml:space="preserve"> </w:t>
      </w:r>
      <w:r>
        <w:t xml:space="preserve">Accountants</w:t>
      </w:r>
      <w:r>
        <w:t xml:space="preserve"> </w:t>
      </w:r>
      <w:r>
        <w:t xml:space="preserve">in</w:t>
      </w:r>
      <w:r>
        <w:t xml:space="preserve"> </w:t>
      </w:r>
      <w:r>
        <w:t xml:space="preserve">France</w:t>
      </w:r>
      <w:r>
        <w:t xml:space="preserve"> </w:t>
      </w:r>
      <w:r>
        <w:t xml:space="preserve">Paris</w:t>
      </w:r>
    </w:p>
    <w:bookmarkStart w:id="29" w:name="Xa8c3a364a4ab9c9ab59deeb1c8c547a7f5072c8"/>
    <w:p>
      <w:pPr>
        <w:pStyle w:val="Heading1"/>
      </w:pPr>
      <w:r>
        <w:t xml:space="preserve">Research Proposal: Digital Transformation and Regulatory Adaptation of Accountants in France Paris</w:t>
      </w:r>
    </w:p>
    <w:bookmarkStart w:id="20" w:name="abstract"/>
    <w:p>
      <w:pPr>
        <w:pStyle w:val="Heading2"/>
      </w:pPr>
      <w:r>
        <w:t xml:space="preserve">Abstract</w:t>
      </w:r>
    </w:p>
    <w:p>
      <w:pPr>
        <w:pStyle w:val="FirstParagraph"/>
      </w:pPr>
      <w:r>
        <w:t xml:space="preserve">This Research Proposal outlines a comprehensive study examining the evolving role of the Accountant within the dynamic financial ecosystem of France Paris. With Paris serving as a pivotal hub for European finance, this research investigates how accountants navigate complex regulatory frameworks, digital transformation pressures, and client expectations. The study employs mixed-methods to analyze sector-specific challenges faced by Accountants in France's most influential financial center. Findings will provide actionable insights for accounting professionals, educational institutions, and policymakers to enhance service delivery and compliance in France Paris’s competitive market. Expected outcomes include a framework for adaptive professional development tailored to the unique demands of the French capital.</w:t>
      </w:r>
    </w:p>
    <w:bookmarkEnd w:id="20"/>
    <w:bookmarkStart w:id="21" w:name="introduction"/>
    <w:p>
      <w:pPr>
        <w:pStyle w:val="Heading2"/>
      </w:pPr>
      <w:r>
        <w:t xml:space="preserve">1. Introduction</w:t>
      </w:r>
    </w:p>
    <w:p>
      <w:pPr>
        <w:pStyle w:val="FirstParagraph"/>
      </w:pPr>
      <w:r>
        <w:t xml:space="preserve">France Paris stands as a global financial epicenter, hosting headquarters of multinational corporations, major banking institutions (e.g., BNP Paribas, Société Générale), and a thriving ecosystem for SMEs. In this context, the role of the Accountant transcends traditional bookkeeping; it has evolved into a strategic advisory function critical for navigating France’s intricate tax code (Code Général des Impôts), GDPR compliance requirements, and EU regulatory directives (e.g., MiFID II, CSRD). However, rapid digitalization—driven by tools like AI-driven accounting software (e.g., Sage Intacct) and blockchain-based audit trails—has intensified demands on Accountants. This Research Proposal addresses a critical gap: how do Accountants in France Paris adapt to these converging pressures while maintaining ethical standards and client trust? Understanding this is vital for sustaining Paris’s position as a premier financial hub within the European Union.</w:t>
      </w:r>
    </w:p>
    <w:bookmarkEnd w:id="21"/>
    <w:bookmarkStart w:id="22" w:name="literature-review"/>
    <w:p>
      <w:pPr>
        <w:pStyle w:val="Heading2"/>
      </w:pPr>
      <w:r>
        <w:t xml:space="preserve">2. Literature Review</w:t>
      </w:r>
    </w:p>
    <w:p>
      <w:pPr>
        <w:pStyle w:val="FirstParagraph"/>
      </w:pPr>
      <w:r>
        <w:t xml:space="preserve">Existing scholarship on accounting practices predominantly focuses on Anglo-American contexts, overlooking the unique French regulatory landscape. Studies by Lefebvre (2021) highlight France’s stringent tax compliance culture but neglect digital adoption barriers for Accountants in Parisian firms. Similarly, research by Dubois &amp; Moreau (2023) examines EU-wide accounting digitization yet fails to contextualize Paris-specific challenges, such as the dominance of small- and medium-sized accounting practices (expertises comptables) serving local businesses. The gap lies in understanding how Accountants reconcile France’s historical emphasis on manual compliance with emerging digital demands. This study bridges this gap by centering France Paris as a microcosm of European financial innovation.</w:t>
      </w:r>
    </w:p>
    <w:bookmarkEnd w:id="22"/>
    <w:bookmarkStart w:id="23" w:name="research-objectives"/>
    <w:p>
      <w:pPr>
        <w:pStyle w:val="Heading2"/>
      </w:pPr>
      <w:r>
        <w:t xml:space="preserve">3. Research Objectives</w:t>
      </w:r>
    </w:p>
    <w:p>
      <w:pPr>
        <w:numPr>
          <w:ilvl w:val="0"/>
          <w:numId w:val="1001"/>
        </w:numPr>
        <w:pStyle w:val="Compact"/>
      </w:pPr>
      <w:r>
        <w:t xml:space="preserve">To analyze the impact of digital tools (e.g., cloud accounting, AI analytics) on daily workflows and skill requirements for Accountants in France Paris.</w:t>
      </w:r>
    </w:p>
    <w:p>
      <w:pPr>
        <w:numPr>
          <w:ilvl w:val="0"/>
          <w:numId w:val="1001"/>
        </w:numPr>
        <w:pStyle w:val="Compact"/>
      </w:pPr>
      <w:r>
        <w:t xml:space="preserve">To assess regulatory adaptation strategies used by Accountants when complying with evolving French tax laws (e.g., recent reforms to corporate tax rates) and EU directives.</w:t>
      </w:r>
    </w:p>
    <w:p>
      <w:pPr>
        <w:numPr>
          <w:ilvl w:val="0"/>
          <w:numId w:val="1001"/>
        </w:numPr>
        <w:pStyle w:val="Compact"/>
      </w:pPr>
      <w:r>
        <w:t xml:space="preserve">To evaluate client expectations of Accountants in Parisian SMEs, particularly regarding sustainability reporting (CSRD) and data privacy under GDPR.</w:t>
      </w:r>
    </w:p>
    <w:p>
      <w:pPr>
        <w:numPr>
          <w:ilvl w:val="0"/>
          <w:numId w:val="1001"/>
        </w:numPr>
        <w:pStyle w:val="Compact"/>
      </w:pPr>
      <w:r>
        <w:t xml:space="preserve">To develop a competency framework for Accountants in France Paris, integrating technical, regulatory, and soft skills for future-proofing the profession.</w:t>
      </w:r>
    </w:p>
    <w:bookmarkEnd w:id="23"/>
    <w:bookmarkStart w:id="24" w:name="methodology"/>
    <w:p>
      <w:pPr>
        <w:pStyle w:val="Heading2"/>
      </w:pPr>
      <w:r>
        <w:t xml:space="preserve">4. Methodology</w:t>
      </w:r>
    </w:p>
    <w:p>
      <w:pPr>
        <w:pStyle w:val="FirstParagraph"/>
      </w:pPr>
      <w:r>
        <w:t xml:space="preserve">This research employs a sequential mixed-methods design over 18 months:</w:t>
      </w:r>
    </w:p>
    <w:p>
      <w:pPr>
        <w:numPr>
          <w:ilvl w:val="0"/>
          <w:numId w:val="1002"/>
        </w:numPr>
        <w:pStyle w:val="Compact"/>
      </w:pPr>
      <w:r>
        <w:rPr>
          <w:bCs/>
          <w:b/>
        </w:rPr>
        <w:t xml:space="preserve">Phase 1: Quantitative Survey (Months 1–6)</w:t>
      </w:r>
      <w:r>
        <w:t xml:space="preserve"> </w:t>
      </w:r>
      <w:r>
        <w:t xml:space="preserve">– Distributed to 300+ Accountants across Paris-based firms (including Big Four subsidiaries, boutique consultancies, and independent practices) via the Ordre des Comptables Agréés. Surveys will measure digital tool usage rates, perceived regulatory challenges, and skill gaps.</w:t>
      </w:r>
    </w:p>
    <w:p>
      <w:pPr>
        <w:numPr>
          <w:ilvl w:val="0"/>
          <w:numId w:val="1002"/>
        </w:numPr>
        <w:pStyle w:val="Compact"/>
      </w:pPr>
      <w:r>
        <w:rPr>
          <w:bCs/>
          <w:b/>
        </w:rPr>
        <w:t xml:space="preserve">Phase 2: Qualitative Interviews (Months 7–12)</w:t>
      </w:r>
      <w:r>
        <w:t xml:space="preserve"> </w:t>
      </w:r>
      <w:r>
        <w:t xml:space="preserve">– In-depth interviews with 30 Accountants and 15 key stakeholders (e.g., representatives from France’s Ministry of Economy, French Accounting Standards Board). Focus groups will explore nuanced adaptation strategies in Paris’s high-pressure environment.</w:t>
      </w:r>
    </w:p>
    <w:p>
      <w:pPr>
        <w:numPr>
          <w:ilvl w:val="0"/>
          <w:numId w:val="1002"/>
        </w:numPr>
        <w:pStyle w:val="Compact"/>
      </w:pPr>
      <w:r>
        <w:rPr>
          <w:bCs/>
          <w:b/>
        </w:rPr>
        <w:t xml:space="preserve">Phase 3: Case Studies (Months 13–18)</w:t>
      </w:r>
      <w:r>
        <w:t xml:space="preserve"> </w:t>
      </w:r>
      <w:r>
        <w:t xml:space="preserve">– Analysis of three Parisian firms adopting innovative models (e.g., a fintech-integrated accounting practice, an SME-focused firm handling CSRD compliance).</w:t>
      </w:r>
    </w:p>
    <w:p>
      <w:pPr>
        <w:pStyle w:val="FirstParagraph"/>
      </w:pPr>
      <w:r>
        <w:t xml:space="preserve">Data will be triangulated using NVivo for thematic analysis and SPSS for statistical validation. Ethics approval will be sought from Sorbonne University’s IRB.</w:t>
      </w:r>
    </w:p>
    <w:bookmarkEnd w:id="24"/>
    <w:bookmarkStart w:id="25" w:name="significance-of-the-study"/>
    <w:p>
      <w:pPr>
        <w:pStyle w:val="Heading2"/>
      </w:pPr>
      <w:r>
        <w:t xml:space="preserve">5. Significance of the Study</w:t>
      </w:r>
    </w:p>
    <w:p>
      <w:pPr>
        <w:pStyle w:val="FirstParagraph"/>
      </w:pPr>
      <w:r>
        <w:t xml:space="preserve">This Research Proposal delivers tangible value to multiple stakeholders in France Paris:</w:t>
      </w:r>
    </w:p>
    <w:p>
      <w:pPr>
        <w:numPr>
          <w:ilvl w:val="0"/>
          <w:numId w:val="1003"/>
        </w:numPr>
        <w:pStyle w:val="Compact"/>
      </w:pPr>
      <w:r>
        <w:rPr>
          <w:bCs/>
          <w:b/>
        </w:rPr>
        <w:t xml:space="preserve">For Accountants:</w:t>
      </w:r>
      <w:r>
        <w:t xml:space="preserve"> </w:t>
      </w:r>
      <w:r>
        <w:t xml:space="preserve">The competency framework will guide professional development, reducing burnout from regulatory volatility.</w:t>
      </w:r>
    </w:p>
    <w:p>
      <w:pPr>
        <w:numPr>
          <w:ilvl w:val="0"/>
          <w:numId w:val="1003"/>
        </w:numPr>
        <w:pStyle w:val="Compact"/>
      </w:pPr>
      <w:r>
        <w:rPr>
          <w:bCs/>
          <w:b/>
        </w:rPr>
        <w:t xml:space="preserve">For Businesses in France Paris:</w:t>
      </w:r>
      <w:r>
        <w:t xml:space="preserve"> </w:t>
      </w:r>
      <w:r>
        <w:t xml:space="preserve">Insights into accountant-client alignment will improve financial decision-making for SMEs navigating post-pandemic recovery.</w:t>
      </w:r>
    </w:p>
    <w:p>
      <w:pPr>
        <w:numPr>
          <w:ilvl w:val="0"/>
          <w:numId w:val="1003"/>
        </w:numPr>
        <w:pStyle w:val="Compact"/>
      </w:pPr>
      <w:r>
        <w:rPr>
          <w:bCs/>
          <w:b/>
        </w:rPr>
        <w:t xml:space="preserve">For French Policymakers:</w:t>
      </w:r>
      <w:r>
        <w:t xml:space="preserve"> </w:t>
      </w:r>
      <w:r>
        <w:t xml:space="preserve">Evidence on digital adoption barriers will inform future regulations (e.g., France’s national AI strategy 2025) to support Accountants as economic enablers.</w:t>
      </w:r>
    </w:p>
    <w:p>
      <w:pPr>
        <w:numPr>
          <w:ilvl w:val="0"/>
          <w:numId w:val="1003"/>
        </w:numPr>
        <w:pStyle w:val="Compact"/>
      </w:pPr>
      <w:r>
        <w:rPr>
          <w:bCs/>
          <w:b/>
        </w:rPr>
        <w:t xml:space="preserve">For Academic Institutions:</w:t>
      </w:r>
      <w:r>
        <w:t xml:space="preserve"> </w:t>
      </w:r>
      <w:r>
        <w:t xml:space="preserve">Curricula redesign recommendations for programs at institutions like ESCP Paris or HEC Paris to better prepare students for the modern Accountant role.</w:t>
      </w:r>
    </w:p>
    <w:bookmarkEnd w:id="25"/>
    <w:bookmarkStart w:id="26" w:name="expected-outcomes-and-dissemination"/>
    <w:p>
      <w:pPr>
        <w:pStyle w:val="Heading2"/>
      </w:pPr>
      <w:r>
        <w:t xml:space="preserve">6. Expected Outcomes and Dissemination</w:t>
      </w:r>
    </w:p>
    <w:p>
      <w:pPr>
        <w:pStyle w:val="FirstParagraph"/>
      </w:pPr>
      <w:r>
        <w:t xml:space="preserve">A robust dataset will be produced, including:</w:t>
      </w:r>
    </w:p>
    <w:p>
      <w:pPr>
        <w:numPr>
          <w:ilvl w:val="0"/>
          <w:numId w:val="1004"/>
        </w:numPr>
        <w:pStyle w:val="Compact"/>
      </w:pPr>
      <w:r>
        <w:t xml:space="preserve">A publicly accessible digital toolkit for Accountants in France Paris, featuring regulatory checklists and tech adoption roadmaps.</w:t>
      </w:r>
    </w:p>
    <w:p>
      <w:pPr>
        <w:numPr>
          <w:ilvl w:val="0"/>
          <w:numId w:val="1004"/>
        </w:numPr>
        <w:pStyle w:val="Compact"/>
      </w:pPr>
      <w:r>
        <w:t xml:space="preserve">Peer-reviewed publications in journals such as the *European Accounting Review* and *Journal of International Accounting Research*.</w:t>
      </w:r>
    </w:p>
    <w:p>
      <w:pPr>
        <w:numPr>
          <w:ilvl w:val="0"/>
          <w:numId w:val="1004"/>
        </w:numPr>
        <w:pStyle w:val="Compact"/>
      </w:pPr>
      <w:r>
        <w:t xml:space="preserve">Policy briefs delivered to the French Ministry of Finance and European Commission’s Directorate-General for Taxation.</w:t>
      </w:r>
    </w:p>
    <w:p>
      <w:pPr>
        <w:numPr>
          <w:ilvl w:val="0"/>
          <w:numId w:val="1004"/>
        </w:numPr>
        <w:pStyle w:val="Compact"/>
      </w:pPr>
      <w:r>
        <w:t xml:space="preserve">A workshop series at Paris Chamber of Commerce (CCI Paris) targeting Accountants across Île-de-France region.</w:t>
      </w:r>
    </w:p>
    <w:bookmarkEnd w:id="26"/>
    <w:bookmarkStart w:id="27" w:name="conclusion"/>
    <w:p>
      <w:pPr>
        <w:pStyle w:val="Heading2"/>
      </w:pPr>
      <w:r>
        <w:t xml:space="preserve">7. Conclusion</w:t>
      </w:r>
    </w:p>
    <w:p>
      <w:pPr>
        <w:pStyle w:val="FirstParagraph"/>
      </w:pPr>
      <w:r>
        <w:t xml:space="preserve">The Accountant in France Paris operates at a crossroads of tradition and innovation, where mastery of French fiscal nuances must coexist with digital agility. This Research Proposal responds to an urgent need: without strategic adaptation, the profession risks becoming obsolete amid accelerating technological and regulatory shifts. By centering the lived experiences of Accountants in France’s financial capital, this study will not only advance academic discourse but also empower practitioners to thrive in one of Europe’s most complex economic landscapes. The outcomes will cement Paris’s reputation as a leader in progressive accounting practices while providing a replicable model for other global financial centers. Ultimately, this Research Proposal underscores that the Accountant is not merely a number-keeper but an indispensable architect of sustainable business growth within France Paris.</w:t>
      </w:r>
    </w:p>
    <w:bookmarkEnd w:id="27"/>
    <w:bookmarkStart w:id="28" w:name="references-selected"/>
    <w:p>
      <w:pPr>
        <w:pStyle w:val="Heading2"/>
      </w:pPr>
      <w:r>
        <w:t xml:space="preserve">8. References (Selected)</w:t>
      </w:r>
    </w:p>
    <w:p>
      <w:pPr>
        <w:numPr>
          <w:ilvl w:val="0"/>
          <w:numId w:val="1005"/>
        </w:numPr>
        <w:pStyle w:val="Compact"/>
      </w:pPr>
      <w:r>
        <w:t xml:space="preserve">Dubois, S., &amp; Moreau, L. (2023). *EU Accounting Digitalization: A Comparative Analysis*. Journal of European Financial Management.</w:t>
      </w:r>
    </w:p>
    <w:p>
      <w:pPr>
        <w:numPr>
          <w:ilvl w:val="0"/>
          <w:numId w:val="1005"/>
        </w:numPr>
        <w:pStyle w:val="Compact"/>
      </w:pPr>
      <w:r>
        <w:t xml:space="preserve">Lefebvre, P. (2021). *Tax Compliance in France: Challenges for Modern Accountants*. French Economic Review.</w:t>
      </w:r>
    </w:p>
    <w:p>
      <w:pPr>
        <w:numPr>
          <w:ilvl w:val="0"/>
          <w:numId w:val="1005"/>
        </w:numPr>
        <w:pStyle w:val="Compact"/>
      </w:pPr>
      <w:r>
        <w:t xml:space="preserve">French Ministry of Economy. (2023). *National Accounting Digital Strategy 2030*.</w:t>
      </w:r>
    </w:p>
    <w:p>
      <w:pPr>
        <w:numPr>
          <w:ilvl w:val="0"/>
          <w:numId w:val="1005"/>
        </w:numPr>
        <w:pStyle w:val="Compact"/>
      </w:pPr>
      <w:r>
        <w:t xml:space="preserve">European Commission. (2024). *Corporate Sustainability Reporting Directive (CSRD) Implementation Guide*.</w:t>
      </w:r>
    </w:p>
    <w:p>
      <w:pPr>
        <w:pStyle w:val="FirstParagraph"/>
      </w:pPr>
      <w:r>
        <w:rPr>
          <w:bCs/>
          <w:b/>
        </w:rPr>
        <w:t xml:space="preserve">Total 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Regulatory Adaptation of Accountants in France Paris</dc:title>
  <dc:creator/>
  <dc:language>en</dc:language>
  <cp:keywords/>
  <dcterms:created xsi:type="dcterms:W3CDTF">2026-07-23T05:12:13Z</dcterms:created>
  <dcterms:modified xsi:type="dcterms:W3CDTF">2026-07-23T05:12:13Z</dcterms:modified>
</cp:coreProperties>
</file>

<file path=docProps/custom.xml><?xml version="1.0" encoding="utf-8"?>
<Properties xmlns="http://schemas.openxmlformats.org/officeDocument/2006/custom-properties" xmlns:vt="http://schemas.openxmlformats.org/officeDocument/2006/docPropsVTypes"/>
</file>