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Germany's</w:t>
      </w:r>
      <w:r>
        <w:t xml:space="preserve"> </w:t>
      </w:r>
      <w:r>
        <w:t xml:space="preserve">Frankfurt</w:t>
      </w:r>
      <w:r>
        <w:t xml:space="preserve"> </w:t>
      </w:r>
      <w:r>
        <w:t xml:space="preserve">Financial</w:t>
      </w:r>
      <w:r>
        <w:t xml:space="preserve"> </w:t>
      </w:r>
      <w:r>
        <w:t xml:space="preserve">Hub</w:t>
      </w:r>
    </w:p>
    <w:bookmarkStart w:id="29" w:name="X5a2c08b1b08057068c27214d93b26879eb858e5"/>
    <w:p>
      <w:pPr>
        <w:pStyle w:val="Heading1"/>
      </w:pPr>
      <w:r>
        <w:t xml:space="preserve">Research Proposal: The Evolving Role of Accountants in Germany's Frankfurt Financial Hub</w:t>
      </w:r>
    </w:p>
    <w:bookmarkStart w:id="20" w:name="abstract"/>
    <w:p>
      <w:pPr>
        <w:pStyle w:val="Heading2"/>
      </w:pPr>
      <w:r>
        <w:t xml:space="preserve">Abstract</w:t>
      </w:r>
    </w:p>
    <w:p>
      <w:pPr>
        <w:pStyle w:val="FirstParagraph"/>
      </w:pPr>
      <w:r>
        <w:t xml:space="preserve">This research proposal investigates the transformative role of the Accountant within the dynamic financial ecosystem of Germany Frankfurt. As Europe's premier financial center hosting key institutions like the European Central Bank (ECB), Deutsche Börse, and numerous multinational banks, Frankfurt demands specialized accounting expertise. This study examines how digitalization, regulatory shifts post-Brexit, and sustainability reporting are reshaping the Accountant's function in this critical German economic nexus. With 25% of Germany's financial sector employment concentrated in Frankfurt (Federal Statistical Office, 2023), understanding these changes is vital for workforce development and economic resilience. The research aims to provide actionable insights for Accountants, employers, and policymakers navigating Germany Frankfurt’s complex financial landscape.</w:t>
      </w:r>
    </w:p>
    <w:bookmarkEnd w:id="20"/>
    <w:bookmarkStart w:id="21" w:name="X3c370a3f441842f6f8d9172c6ee9bb531f3af70"/>
    <w:p>
      <w:pPr>
        <w:pStyle w:val="Heading2"/>
      </w:pPr>
      <w:r>
        <w:t xml:space="preserve">1. Introduction: Significance of Accounting in Germany Frankfurt</w:t>
      </w:r>
    </w:p>
    <w:p>
      <w:pPr>
        <w:pStyle w:val="FirstParagraph"/>
      </w:pPr>
      <w:r>
        <w:t xml:space="preserve">Frankfurt am Main stands as the undisputed heart of Germany's finance industry and a pivotal node in the European Union's economic infrastructure. Its status as home to the ECB, major investment banks (e.g., Deutsche Bank, Commerzbank), and 30+ DAX-listed companies creates an unparalleled demand for highly skilled Accountants. The role of the Accountant here transcends traditional bookkeeping; it is central to regulatory compliance, risk management, and strategic decision-making within a globally interconnected market. This research directly addresses the critical need to analyze how evolving economic pressures impact the Accountant's professional identity and capabilities in Germany's most significant financial city.</w:t>
      </w:r>
    </w:p>
    <w:bookmarkEnd w:id="21"/>
    <w:bookmarkStart w:id="22" w:name="research-problem-statement"/>
    <w:p>
      <w:pPr>
        <w:pStyle w:val="Heading2"/>
      </w:pPr>
      <w:r>
        <w:t xml:space="preserve">2. Research Problem Statement</w:t>
      </w:r>
    </w:p>
    <w:p>
      <w:pPr>
        <w:pStyle w:val="FirstParagraph"/>
      </w:pPr>
      <w:r>
        <w:t xml:space="preserve">The German accounting profession faces unprecedented challenges in Frankfurt due to three converging forces: (1) The EU's stringent regulatory environment (e.g., CSRD, GDPR, IFRS 9), (2) Accelerated digital transformation impacting audit methodologies and data analytics requirements, and (3) Post-Brexit realignment of cross-border financial reporting frameworks. While general accounting trends are studied globally, there is a significant gap in context-specific research focused on the Frankfurt ecosystem. Current literature largely overlooks how Accountants in this unique setting navigate these pressures while serving as gatekeepers for Germany's financial stability. This gap hinders effective talent development and organizational adaptation within Germany Frankfurt’s critical financial infrastructure.</w:t>
      </w:r>
    </w:p>
    <w:bookmarkEnd w:id="22"/>
    <w:bookmarkStart w:id="23" w:name="research-objectives"/>
    <w:p>
      <w:pPr>
        <w:pStyle w:val="Heading2"/>
      </w:pPr>
      <w:r>
        <w:t xml:space="preserve">3. Research Objectives</w:t>
      </w:r>
    </w:p>
    <w:p>
      <w:pPr>
        <w:numPr>
          <w:ilvl w:val="0"/>
          <w:numId w:val="1001"/>
        </w:numPr>
        <w:pStyle w:val="Compact"/>
      </w:pPr>
      <w:r>
        <w:t xml:space="preserve">To map the evolving core competencies required of Accountants in Frankfurt-based financial institutions, contrasting pre- and post-Brexit regulatory demands.</w:t>
      </w:r>
    </w:p>
    <w:p>
      <w:pPr>
        <w:numPr>
          <w:ilvl w:val="0"/>
          <w:numId w:val="1001"/>
        </w:numPr>
        <w:pStyle w:val="Compact"/>
      </w:pPr>
      <w:r>
        <w:t xml:space="preserve">To analyze the impact of digital tools (AI-driven audit software, blockchain for transaction tracing) on day-to-day accounting functions within Germany Frankfurt's corporate and banking sectors.</w:t>
      </w:r>
    </w:p>
    <w:p>
      <w:pPr>
        <w:numPr>
          <w:ilvl w:val="0"/>
          <w:numId w:val="1001"/>
        </w:numPr>
        <w:pStyle w:val="Compact"/>
      </w:pPr>
      <w:r>
        <w:t xml:space="preserve">To identify critical skill gaps among current Accountants in Frankfurt through employer and professional body surveys, focusing on sustainability reporting (CSRD) and cross-border tax compliance.</w:t>
      </w:r>
    </w:p>
    <w:p>
      <w:pPr>
        <w:numPr>
          <w:ilvl w:val="0"/>
          <w:numId w:val="1001"/>
        </w:numPr>
        <w:pStyle w:val="Compact"/>
      </w:pPr>
      <w:r>
        <w:t xml:space="preserve">To develop a forward-looking competency framework tailored specifically for Accountants operating within the Germany Frankfurt financial hub, informing education and certification pathways.</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Literature &amp; Regulatory Analysis (Months 1-3):</w:t>
      </w:r>
      <w:r>
        <w:t xml:space="preserve"> </w:t>
      </w:r>
      <w:r>
        <w:t xml:space="preserve">Comprehensive review of German accounting standards (GoB), EU directives, and Frankfurt-specific financial regulations. Focus on CSRD implementation challenges for Accountants.</w:t>
      </w:r>
    </w:p>
    <w:p>
      <w:pPr>
        <w:numPr>
          <w:ilvl w:val="0"/>
          <w:numId w:val="1002"/>
        </w:numPr>
        <w:pStyle w:val="Compact"/>
      </w:pPr>
      <w:r>
        <w:rPr>
          <w:bCs/>
          <w:b/>
        </w:rPr>
        <w:t xml:space="preserve">Phase 2: Stakeholder Surveys &amp; Interviews (Months 4-10):</w:t>
      </w:r>
      <w:r>
        <w:t xml:space="preserve"> </w:t>
      </w:r>
      <w:r>
        <w:t xml:space="preserve">Structured surveys distributed to 300+ Accountants across Frankfurt-based entities (banks, audit firms, corporate finance departments). Targeted semi-structured interviews with 35 key informants: CFOs, heads of compliance at ECB/Deutsche Börse, and representatives from German Accounting Association (IDW).</w:t>
      </w:r>
    </w:p>
    <w:p>
      <w:pPr>
        <w:numPr>
          <w:ilvl w:val="0"/>
          <w:numId w:val="1002"/>
        </w:numPr>
        <w:pStyle w:val="Compact"/>
      </w:pPr>
      <w:r>
        <w:rPr>
          <w:bCs/>
          <w:b/>
        </w:rPr>
        <w:t xml:space="preserve">Phase 3: Case Study Analysis (Months 11-14):</w:t>
      </w:r>
      <w:r>
        <w:t xml:space="preserve"> </w:t>
      </w:r>
      <w:r>
        <w:t xml:space="preserve">In-depth analysis of two Frankfurt-based financial institutions implementing new digital accounting systems or CSRD reporting frameworks.</w:t>
      </w:r>
    </w:p>
    <w:p>
      <w:pPr>
        <w:numPr>
          <w:ilvl w:val="0"/>
          <w:numId w:val="1002"/>
        </w:numPr>
        <w:pStyle w:val="Compact"/>
      </w:pPr>
      <w:r>
        <w:rPr>
          <w:bCs/>
          <w:b/>
        </w:rPr>
        <w:t xml:space="preserve">Phase 4: Framework Development &amp; Validation (Months 15-18):</w:t>
      </w:r>
      <w:r>
        <w:t xml:space="preserve"> </w:t>
      </w:r>
      <w:r>
        <w:t xml:space="preserve">Synthesis of findings into the proposed competency framework, validated via focus groups with industry leaders in Germany Frankfurt.</w:t>
      </w:r>
    </w:p>
    <w:bookmarkEnd w:id="24"/>
    <w:bookmarkStart w:id="25" w:name="expected-outcomes-significance"/>
    <w:p>
      <w:pPr>
        <w:pStyle w:val="Heading2"/>
      </w:pPr>
      <w:r>
        <w:t xml:space="preserve">5. Expected Outcomes &amp; Significance</w:t>
      </w:r>
    </w:p>
    <w:p>
      <w:pPr>
        <w:pStyle w:val="FirstParagraph"/>
      </w:pPr>
      <w:r>
        <w:t xml:space="preserve">This research will deliver concrete value for stakeholders in Germany Frankfurt:</w:t>
      </w:r>
    </w:p>
    <w:p>
      <w:pPr>
        <w:numPr>
          <w:ilvl w:val="0"/>
          <w:numId w:val="1003"/>
        </w:numPr>
        <w:pStyle w:val="Compact"/>
      </w:pPr>
      <w:r>
        <w:rPr>
          <w:bCs/>
          <w:b/>
        </w:rPr>
        <w:t xml:space="preserve">For Accountants:</w:t>
      </w:r>
      <w:r>
        <w:t xml:space="preserve"> </w:t>
      </w:r>
      <w:r>
        <w:t xml:space="preserve">A clear roadmap of emerging skills (data analytics, ESG auditing, cross-border tax strategy) essential for career progression within the Frankfurt market.</w:t>
      </w:r>
    </w:p>
    <w:p>
      <w:pPr>
        <w:numPr>
          <w:ilvl w:val="0"/>
          <w:numId w:val="1003"/>
        </w:numPr>
        <w:pStyle w:val="Compact"/>
      </w:pPr>
      <w:r>
        <w:rPr>
          <w:bCs/>
          <w:b/>
        </w:rPr>
        <w:t xml:space="preserve">For Employers (Banks, Audit Firms in Frankfurt):</w:t>
      </w:r>
      <w:r>
        <w:t xml:space="preserve"> </w:t>
      </w:r>
      <w:r>
        <w:t xml:space="preserve">Evidence-based insights to refine recruitment criteria, training programs, and succession planning for Accountants critical to their Frankfurt operations.</w:t>
      </w:r>
    </w:p>
    <w:p>
      <w:pPr>
        <w:numPr>
          <w:ilvl w:val="0"/>
          <w:numId w:val="1003"/>
        </w:numPr>
        <w:pStyle w:val="Compact"/>
      </w:pPr>
      <w:r>
        <w:rPr>
          <w:bCs/>
          <w:b/>
        </w:rPr>
        <w:t xml:space="preserve">For Policymakers (BMF, ECB):</w:t>
      </w:r>
      <w:r>
        <w:t xml:space="preserve"> </w:t>
      </w:r>
      <w:r>
        <w:t xml:space="preserve">Data supporting targeted regulatory guidance and support for the accounting profession adapting to Germany's role as a central EU financial node.</w:t>
      </w:r>
    </w:p>
    <w:p>
      <w:pPr>
        <w:numPr>
          <w:ilvl w:val="0"/>
          <w:numId w:val="1003"/>
        </w:numPr>
        <w:pStyle w:val="Compact"/>
      </w:pPr>
      <w:r>
        <w:rPr>
          <w:bCs/>
          <w:b/>
        </w:rPr>
        <w:t xml:space="preserve">For Academic Institutions:</w:t>
      </w:r>
      <w:r>
        <w:t xml:space="preserve"> </w:t>
      </w:r>
      <w:r>
        <w:t xml:space="preserve">Validation of curricula adjustments needed at Frankfurt universities (e.g., Goethe University) and vocational schools to align with industry demands.</w:t>
      </w:r>
    </w:p>
    <w:bookmarkEnd w:id="25"/>
    <w:bookmarkStart w:id="26" w:name="relevance-to-germany-frankfurt-context"/>
    <w:p>
      <w:pPr>
        <w:pStyle w:val="Heading2"/>
      </w:pPr>
      <w:r>
        <w:t xml:space="preserve">6. Relevance to Germany Frankfurt Context</w:t>
      </w:r>
    </w:p>
    <w:p>
      <w:pPr>
        <w:pStyle w:val="FirstParagraph"/>
      </w:pPr>
      <w:r>
        <w:t xml:space="preserve">The choice of Germany Frankfurt as the research focus is non-negotiable for validity and impact. Unlike Berlin or Munich, Frankfurt operates under a unique confluence of EU regulatory authority (ECB), pan-European capital markets (Deutsche Börse), and dense concentration of global financial actors. Accountants here manage complexities absent in other German cities – such as direct interaction with ECB supervision, handling transactions across 27 EU member states post-Brexit, and implementing CSRD for multinational groups headquartered in Frankfurt. This study’s findings will directly address the operational realities faced by the Accountant within Germany's most strategically significant financial center, ensuring recommendations are actionable within this specific ecosystem.</w:t>
      </w:r>
    </w:p>
    <w:bookmarkEnd w:id="26"/>
    <w:bookmarkStart w:id="27" w:name="conclusion"/>
    <w:p>
      <w:pPr>
        <w:pStyle w:val="Heading2"/>
      </w:pPr>
      <w:r>
        <w:t xml:space="preserve">7. Conclusion</w:t>
      </w:r>
    </w:p>
    <w:p>
      <w:pPr>
        <w:pStyle w:val="FirstParagraph"/>
      </w:pPr>
      <w:r>
        <w:t xml:space="preserve">The role of the Accountant in Germany Frankfurt is undergoing a fundamental shift, driven by forces that define modern finance. This research proposal outlines a critical investigation into this evolution. By focusing precisely on the Frankfurt context – where Germany's financial heartbeat resonates strongest – it aims to generate knowledge that empowers Accountants, strengthens institutions, and sustains Frankfurt’s position as Europe’s premier financial hub. The outcomes will provide essential guidance for navigating the future landscape of accounting practice in one of the world's most demanding and influential economic environments. This study is not merely academic; it is a necessary step towards securing Germany's financial leadership through its most vital profession.</w:t>
      </w:r>
    </w:p>
    <w:bookmarkEnd w:id="27"/>
    <w:bookmarkStart w:id="28" w:name="references-illustrative"/>
    <w:p>
      <w:pPr>
        <w:pStyle w:val="Heading2"/>
      </w:pPr>
      <w:r>
        <w:t xml:space="preserve">References (Illustrative)</w:t>
      </w:r>
    </w:p>
    <w:p>
      <w:pPr>
        <w:pStyle w:val="FirstParagraph"/>
      </w:pPr>
      <w:r>
        <w:t xml:space="preserve">European Central Bank (ECB). (2023). *Financial Stability Review*. Frankfurt.</w:t>
      </w:r>
      <w:r>
        <w:br/>
      </w:r>
      <w:r>
        <w:t xml:space="preserve">Federal Statistical Office of Germany. (2023). *Employment in Financial Services by City*. Wiesbaden.</w:t>
      </w:r>
      <w:r>
        <w:br/>
      </w:r>
      <w:r>
        <w:t xml:space="preserve">Institute of Public Accounting (IDW). (2024). *Guidelines on Sustainability Reporting under CSRD*.</w:t>
      </w:r>
      <w:r>
        <w:br/>
      </w:r>
      <w:r>
        <w:t xml:space="preserve">Deutsche Börse Group. (2023). *Market Structure Report: Frankfurt as EU Financial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Germany's Frankfurt Financial Hub</dc:title>
  <dc:creator/>
  <dc:language>en</dc:language>
  <cp:keywords/>
  <dcterms:created xsi:type="dcterms:W3CDTF">2026-07-23T05:29:04Z</dcterms:created>
  <dcterms:modified xsi:type="dcterms:W3CDTF">2026-07-23T05:29:04Z</dcterms:modified>
</cp:coreProperties>
</file>

<file path=docProps/custom.xml><?xml version="1.0" encoding="utf-8"?>
<Properties xmlns="http://schemas.openxmlformats.org/officeDocument/2006/custom-properties" xmlns:vt="http://schemas.openxmlformats.org/officeDocument/2006/docPropsVTypes"/>
</file>