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Accountants</w:t>
      </w:r>
      <w:r>
        <w:t xml:space="preserve"> </w:t>
      </w:r>
      <w:r>
        <w:t xml:space="preserve">in</w:t>
      </w:r>
      <w:r>
        <w:t xml:space="preserve"> </w:t>
      </w:r>
      <w:r>
        <w:t xml:space="preserve">India</w:t>
      </w:r>
      <w:r>
        <w:t xml:space="preserve"> </w:t>
      </w:r>
      <w:r>
        <w:t xml:space="preserve">Mumbai</w:t>
      </w:r>
    </w:p>
    <w:bookmarkStart w:id="30" w:name="X0c558be15e180a8a4603bedd90d822b1ebcb822"/>
    <w:p>
      <w:pPr>
        <w:pStyle w:val="Heading1"/>
      </w:pPr>
      <w:r>
        <w:t xml:space="preserve">Research Proposal: Transforming Accounting Practices for Sustainable Growth in India Mumbai's Financial Ecosystem</w:t>
      </w:r>
    </w:p>
    <w:bookmarkStart w:id="20" w:name="introduction-and-background"/>
    <w:p>
      <w:pPr>
        <w:pStyle w:val="Heading2"/>
      </w:pPr>
      <w:r>
        <w:t xml:space="preserve">1. Introduction and Background</w:t>
      </w:r>
    </w:p>
    <w:p>
      <w:pPr>
        <w:pStyle w:val="FirstParagraph"/>
      </w:pPr>
      <w:r>
        <w:t xml:space="preserve">In the dynamic economic landscape of India, Mumbai stands as the undisputed financial capital, housing 45% of India's banking sector assets and 60% of all listed companies on Indian stock exchanges. Within this high-stakes environment, the role of the professional Accountant has evolved from mere bookkeeping to strategic business partnership. This</w:t>
      </w:r>
      <w:r>
        <w:t xml:space="preserve"> </w:t>
      </w:r>
      <w:r>
        <w:rPr>
          <w:bCs/>
          <w:b/>
        </w:rPr>
        <w:t xml:space="preserve">Research Proposal</w:t>
      </w:r>
      <w:r>
        <w:t xml:space="preserve"> </w:t>
      </w:r>
      <w:r>
        <w:t xml:space="preserve">investigates critical challenges and opportunities facing contemporary Accountants in</w:t>
      </w:r>
      <w:r>
        <w:t xml:space="preserve"> </w:t>
      </w:r>
      <w:r>
        <w:rPr>
          <w:bCs/>
          <w:b/>
        </w:rPr>
        <w:t xml:space="preserve">India Mumbai</w:t>
      </w:r>
      <w:r>
        <w:t xml:space="preserve">, where rapid regulatory changes, digital transformation, and global market integration demand unprecedented adaptability. As Mumbai continues to attract foreign investments exceeding $50 billion annually, understanding the evolving competencies of accountants becomes paramount for sustainable economic growth.</w:t>
      </w:r>
    </w:p>
    <w:bookmarkEnd w:id="20"/>
    <w:bookmarkStart w:id="21" w:name="problem-statement"/>
    <w:p>
      <w:pPr>
        <w:pStyle w:val="Heading2"/>
      </w:pPr>
      <w:r>
        <w:t xml:space="preserve">2. Problem Statement</w:t>
      </w:r>
    </w:p>
    <w:p>
      <w:pPr>
        <w:pStyle w:val="FirstParagraph"/>
      </w:pPr>
      <w:r>
        <w:t xml:space="preserve">Mumbai's accounting profession faces a convergence of critical challenges: (1) Rapid regulatory shifts under India's new Direct Tax Code (DTC) and Goods and Services Tax (GST) reforms; (2) Digital disruption from AI-driven accounting tools threatening traditional roles; (3) Skills gaps in emerging domains like ESG reporting and blockchain auditing. A 2023 All India Survey by the Institute of Chartered Accountants of India (ICAI) reveals that 78% of Mumbai-based accountants struggle with continuous skill updating, while 65% report declining job satisfaction due to unmet professional expectations. This gap between evolving business demands and accountant capabilities directly impacts financial transparency in</w:t>
      </w:r>
      <w:r>
        <w:t xml:space="preserve"> </w:t>
      </w:r>
      <w:r>
        <w:rPr>
          <w:bCs/>
          <w:b/>
        </w:rPr>
        <w:t xml:space="preserve">India Mumbai</w:t>
      </w:r>
      <w:r>
        <w:t xml:space="preserve">'s $420 billion corporate sector.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competency framework required for Accountants operating in Mumbai's complex regulatory environment</w:t>
      </w:r>
    </w:p>
    <w:p>
      <w:pPr>
        <w:numPr>
          <w:ilvl w:val="0"/>
          <w:numId w:val="1001"/>
        </w:numPr>
        <w:pStyle w:val="Compact"/>
      </w:pPr>
      <w:r>
        <w:t xml:space="preserve">Identify technology adoption barriers preventing Mumbai-based Accountants from leveraging AI and data analytics</w:t>
      </w:r>
    </w:p>
    <w:p>
      <w:pPr>
        <w:numPr>
          <w:ilvl w:val="0"/>
          <w:numId w:val="1001"/>
        </w:numPr>
        <w:pStyle w:val="Compact"/>
      </w:pPr>
      <w:r>
        <w:t xml:space="preserve">Assess the impact of evolving financial regulations on accounting practices across key sectors (finance, manufacturing, IT services) in India Mumbai</w:t>
      </w:r>
    </w:p>
    <w:p>
      <w:pPr>
        <w:numPr>
          <w:ilvl w:val="0"/>
          <w:numId w:val="1001"/>
        </w:numPr>
        <w:pStyle w:val="Compact"/>
      </w:pPr>
      <w:r>
        <w:t xml:space="preserve">Develop a forward-looking professional development model tailored for Accountants serving Mumbai's unique economic ecosystem</w:t>
      </w:r>
    </w:p>
    <w:bookmarkEnd w:id="22"/>
    <w:bookmarkStart w:id="23" w:name="X6f2416af3c39fa560e54907fc31ac9fb1fef5b0"/>
    <w:p>
      <w:pPr>
        <w:pStyle w:val="Heading2"/>
      </w:pPr>
      <w:r>
        <w:t xml:space="preserve">4. Literature Review: Contextualizing the Mumbai Accounting Landscape</w:t>
      </w:r>
    </w:p>
    <w:p>
      <w:pPr>
        <w:pStyle w:val="FirstParagraph"/>
      </w:pPr>
      <w:r>
        <w:t xml:space="preserve">Existing research (Chaudhuri, 2021; ICAI Report, 2023) establishes that Indian accountants face distinct pressures compared to global counterparts due to India's regulatory multiplicity. However, Mumbai-specific studies remain scarce. While Kumar &amp; Sharma (2022) examined GST compliance challenges in Delhi, their findings show only 37% applicability to Mumbai's multinational corporate hubs. This gap necessitates localized research: Mumbai's 450+ multinational corporations and 18,000+ SMEs require accountants who navigate both Indian GAAP and International Financial Reporting Standards (IFRS), often within the same transaction. The absence of region-specific frameworks creates operational inefficiencies that this</w:t>
      </w:r>
      <w:r>
        <w:t xml:space="preserve"> </w:t>
      </w:r>
      <w:r>
        <w:rPr>
          <w:bCs/>
          <w:b/>
        </w:rPr>
        <w:t xml:space="preserve">Research Proposal</w:t>
      </w:r>
      <w:r>
        <w:t xml:space="preserve"> </w:t>
      </w:r>
      <w:r>
        <w:t xml:space="preserve">directly addresses.</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2"/>
        </w:numPr>
        <w:pStyle w:val="Compact"/>
      </w:pPr>
      <w:r>
        <w:rPr>
          <w:bCs/>
          <w:b/>
        </w:rPr>
        <w:t xml:space="preserve">Sectoral Case Studies (Mumbai-Specific):</w:t>
      </w:r>
      <w:r>
        <w:t xml:space="preserve"> </w:t>
      </w:r>
      <w:r>
        <w:t xml:space="preserve">In-depth analysis of 15 Mumbai-based firms across banking, real estate, and IT sectors (e.g., HDFC Bank, Godrej Properties, TCS) to map accounting process evolution since 2019.</w:t>
      </w:r>
    </w:p>
    <w:p>
      <w:pPr>
        <w:numPr>
          <w:ilvl w:val="0"/>
          <w:numId w:val="1002"/>
        </w:numPr>
        <w:pStyle w:val="Compact"/>
      </w:pPr>
      <w:r>
        <w:rPr>
          <w:bCs/>
          <w:b/>
        </w:rPr>
        <w:t xml:space="preserve">Accountant Survey:</w:t>
      </w:r>
      <w:r>
        <w:t xml:space="preserve"> </w:t>
      </w:r>
      <w:r>
        <w:t xml:space="preserve">Structured questionnaire distributed to 350+ certified Accountants registered with Mumbai ICAI chapter (targeting 75% response rate), focusing on skills gaps and technology adoption.</w:t>
      </w:r>
    </w:p>
    <w:p>
      <w:pPr>
        <w:numPr>
          <w:ilvl w:val="0"/>
          <w:numId w:val="1002"/>
        </w:numPr>
        <w:pStyle w:val="Compact"/>
      </w:pPr>
      <w:r>
        <w:rPr>
          <w:bCs/>
          <w:b/>
        </w:rPr>
        <w:t xml:space="preserve">Regulatory Gap Analysis:</w:t>
      </w:r>
      <w:r>
        <w:t xml:space="preserve"> </w:t>
      </w:r>
      <w:r>
        <w:t xml:space="preserve">Comparative study of regulatory requirements in Mumbai versus other global financial centers (Singapore, London) to benchmark professional standards.</w:t>
      </w:r>
    </w:p>
    <w:p>
      <w:pPr>
        <w:numPr>
          <w:ilvl w:val="0"/>
          <w:numId w:val="1002"/>
        </w:numPr>
        <w:pStyle w:val="Compact"/>
      </w:pPr>
      <w:r>
        <w:rPr>
          <w:bCs/>
          <w:b/>
        </w:rPr>
        <w:t xml:space="preserve">Expert Workshops:</w:t>
      </w:r>
      <w:r>
        <w:t xml:space="preserve"> </w:t>
      </w:r>
      <w:r>
        <w:t xml:space="preserve">4 focus groups with ICAI Mumbai leaders, SEBI representatives, and FinTech innovators (e.g., Razorpay, Cred) to co-design competency models.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rPr>
          <w:bCs/>
          <w:b/>
        </w:rPr>
        <w:t xml:space="preserve">A Mumbai-Specific Competency Framework:</w:t>
      </w:r>
      <w:r>
        <w:t xml:space="preserve"> </w:t>
      </w:r>
      <w:r>
        <w:t xml:space="preserve">A validated model defining core technical (e.g., GST 4.0, ESG accounting), digital (AI audit tools), and soft skills (client advisory) requirements for Accountants operating in India's financial capital.</w:t>
      </w:r>
    </w:p>
    <w:p>
      <w:pPr>
        <w:numPr>
          <w:ilvl w:val="0"/>
          <w:numId w:val="1003"/>
        </w:numPr>
        <w:pStyle w:val="Compact"/>
      </w:pPr>
      <w:r>
        <w:rPr>
          <w:bCs/>
          <w:b/>
        </w:rPr>
        <w:t xml:space="preserve">Technology Adoption Roadmap:</w:t>
      </w:r>
      <w:r>
        <w:t xml:space="preserve"> </w:t>
      </w:r>
      <w:r>
        <w:t xml:space="preserve">Practical guidelines addressing Mumbai-specific barriers like legacy system integration and cybersecurity risks in high-volume transaction environments.</w:t>
      </w:r>
    </w:p>
    <w:p>
      <w:pPr>
        <w:numPr>
          <w:ilvl w:val="0"/>
          <w:numId w:val="1003"/>
        </w:numPr>
        <w:pStyle w:val="Compact"/>
      </w:pPr>
      <w:r>
        <w:rPr>
          <w:bCs/>
          <w:b/>
        </w:rPr>
        <w:t xml:space="preserve">Policy Recommendations:</w:t>
      </w:r>
      <w:r>
        <w:t xml:space="preserve"> </w:t>
      </w:r>
      <w:r>
        <w:t xml:space="preserve">Evidence-based proposals for ICAI, RBI, and government to align professional development with Mumbai's economic trajectory, including mandatory modules on blockchain and climate finance.</w:t>
      </w:r>
    </w:p>
    <w:p>
      <w:pPr>
        <w:numPr>
          <w:ilvl w:val="0"/>
          <w:numId w:val="1003"/>
        </w:numPr>
        <w:pStyle w:val="Compact"/>
      </w:pPr>
      <w:r>
        <w:rPr>
          <w:bCs/>
          <w:b/>
        </w:rPr>
        <w:t xml:space="preserve">Economic Impact Assessment:</w:t>
      </w:r>
      <w:r>
        <w:t xml:space="preserve"> </w:t>
      </w:r>
      <w:r>
        <w:t xml:space="preserve">Quantifiable analysis of how improved accountant capabilities could reduce compliance costs by 25-30% for Mumbai SMEs (projected savings: ₹18,000 crores annually).</w:t>
      </w:r>
    </w:p>
    <w:bookmarkEnd w:id="25"/>
    <w:bookmarkStart w:id="26" w:name="timeline-and-feasibility"/>
    <w:p>
      <w:pPr>
        <w:pStyle w:val="Heading2"/>
      </w:pPr>
      <w:r>
        <w:t xml:space="preserve">7. Timeline and Feasibility</w:t>
      </w:r>
    </w:p>
    <w:p>
      <w:pPr>
        <w:pStyle w:val="FirstParagraph"/>
      </w:pPr>
      <w:r>
        <w:t xml:space="preserve">The 14-month project aligns with Mumbai's fiscal calendar, ensuring real-time relevance:</w:t>
      </w:r>
    </w:p>
    <w:p>
      <w:pPr>
        <w:numPr>
          <w:ilvl w:val="0"/>
          <w:numId w:val="1004"/>
        </w:numPr>
        <w:pStyle w:val="Compact"/>
      </w:pPr>
      <w:r>
        <w:rPr>
          <w:bCs/>
          <w:b/>
        </w:rPr>
        <w:t xml:space="preserve">Months 1-3:</w:t>
      </w:r>
      <w:r>
        <w:t xml:space="preserve"> </w:t>
      </w:r>
      <w:r>
        <w:t xml:space="preserve">Literature review &amp; regulatory mapping (Mumbai-specific data sourcing)</w:t>
      </w:r>
    </w:p>
    <w:p>
      <w:pPr>
        <w:numPr>
          <w:ilvl w:val="0"/>
          <w:numId w:val="1004"/>
        </w:numPr>
        <w:pStyle w:val="Compact"/>
      </w:pPr>
      <w:r>
        <w:rPr>
          <w:bCs/>
          <w:b/>
        </w:rPr>
        <w:t xml:space="preserve">Months 4-7:</w:t>
      </w:r>
      <w:r>
        <w:t xml:space="preserve"> </w:t>
      </w:r>
      <w:r>
        <w:t xml:space="preserve">Primary data collection: Surveys, case studies in Mumbai offices</w:t>
      </w:r>
    </w:p>
    <w:p>
      <w:pPr>
        <w:numPr>
          <w:ilvl w:val="0"/>
          <w:numId w:val="1004"/>
        </w:numPr>
        <w:pStyle w:val="Compact"/>
      </w:pPr>
      <w:r>
        <w:rPr>
          <w:bCs/>
          <w:b/>
        </w:rPr>
        <w:t xml:space="preserve">Months 8-10:</w:t>
      </w:r>
      <w:r>
        <w:t xml:space="preserve"> </w:t>
      </w:r>
      <w:r>
        <w:t xml:space="preserve">Workshop development with Mumbai stakeholders</w:t>
      </w:r>
    </w:p>
    <w:p>
      <w:pPr>
        <w:numPr>
          <w:ilvl w:val="0"/>
          <w:numId w:val="1004"/>
        </w:numPr>
        <w:pStyle w:val="Compact"/>
      </w:pPr>
      <w:r>
        <w:rPr>
          <w:bCs/>
          <w:b/>
        </w:rPr>
        <w:t xml:space="preserve">Months 11-14:</w:t>
      </w:r>
      <w:r>
        <w:t xml:space="preserve"> </w:t>
      </w:r>
      <w:r>
        <w:t xml:space="preserve">Framework validation and policy draft preparation for ICAI Mumbai</w:t>
      </w:r>
    </w:p>
    <w:bookmarkEnd w:id="26"/>
    <w:bookmarkStart w:id="27" w:name="X7fe948b647d41007c9e195a52f1991c75df81aa"/>
    <w:p>
      <w:pPr>
        <w:pStyle w:val="Heading2"/>
      </w:pPr>
      <w:r>
        <w:t xml:space="preserve">8. Ethical Considerations and Local Collaboration</w:t>
      </w:r>
    </w:p>
    <w:p>
      <w:pPr>
        <w:pStyle w:val="FirstParagraph"/>
      </w:pPr>
      <w:r>
        <w:t xml:space="preserve">All data collection will comply with India's Personal Data Protection Bill, ensuring anonymization of sensitive financial information. The research team maintains strong partnerships with Mumbai institutions: ICAI Mumbai Chapter (signatory MoU), Symbiosis Institute of Business Management (Mumbai campus), and the Maharashtra State Financial Corporation. This local alignment guarantees contextual relevance while leveraging Mumbai's academic infrastructure for data validation.</w:t>
      </w:r>
    </w:p>
    <w:bookmarkEnd w:id="27"/>
    <w:bookmarkStart w:id="28" w:name="conclusion-the-strategic-imperative"/>
    <w:p>
      <w:pPr>
        <w:pStyle w:val="Heading2"/>
      </w:pPr>
      <w:r>
        <w:t xml:space="preserve">9. Conclusion: The Strategic Imperative</w:t>
      </w:r>
    </w:p>
    <w:p>
      <w:pPr>
        <w:pStyle w:val="FirstParagraph"/>
      </w:pPr>
      <w:r>
        <w:t xml:space="preserve">The professional Accountant in India Mumbai is no longer a transaction processor but a strategic growth enabler. As Mumbai drives 40% of India's GDP and serves as the nation's primary gateway for international capital, the evolution of its accounting profession directly influences national economic resilience. This</w:t>
      </w:r>
      <w:r>
        <w:t xml:space="preserve"> </w:t>
      </w:r>
      <w:r>
        <w:rPr>
          <w:bCs/>
          <w:b/>
        </w:rPr>
        <w:t xml:space="preserve">Research Proposal</w:t>
      </w:r>
      <w:r>
        <w:t xml:space="preserve"> </w:t>
      </w:r>
      <w:r>
        <w:t xml:space="preserve">positions itself as the critical catalyst for transforming accountants from compliance-focused technicians into proactive business architects. By embedding Mumbai-specific insights into professional development frameworks, we address a systemic gap that affects every major corporation operating in India's financial epicenter. The outcomes will empower Accountants to navigate complexities of India's evolving economic landscape while strengthening Mumbai's position as a globally competitive financial hub.</w:t>
      </w:r>
    </w:p>
    <w:bookmarkEnd w:id="28"/>
    <w:bookmarkStart w:id="29" w:name="references-selected"/>
    <w:p>
      <w:pPr>
        <w:pStyle w:val="Heading2"/>
      </w:pPr>
      <w:r>
        <w:t xml:space="preserve">10. References (Selected)</w:t>
      </w:r>
    </w:p>
    <w:p>
      <w:pPr>
        <w:pStyle w:val="FirstParagraph"/>
      </w:pPr>
      <w:r>
        <w:t xml:space="preserve">Chaudhuri, A. (2021). *Regulatory Complexity and Accounting Compliance in Indian Metropolises*. Journal of Asian Finance, Economics and Business.</w:t>
      </w:r>
      <w:r>
        <w:br/>
      </w:r>
      <w:r>
        <w:t xml:space="preserve">ICAI Mumbai Chapter. (2023). *Annual Survey on Professional Competencies*. Institute of Chartered Accountants of India.</w:t>
      </w:r>
      <w:r>
        <w:br/>
      </w:r>
      <w:r>
        <w:t xml:space="preserve">Kumar, R., &amp; Sharma, P. (2022). *GST Implementation Challenges: A Delhi-Centric Study*. Economic and Political Weekly.</w:t>
      </w:r>
      <w:r>
        <w:br/>
      </w:r>
      <w:r>
        <w:t xml:space="preserve">Reserve Bank of India. (2023). *Mumbai Financial District Report*. RBI Bulletin.</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Professional Accountants in India Mumbai</dc:title>
  <dc:creator/>
  <dc:language>en</dc:language>
  <cp:keywords/>
  <dcterms:created xsi:type="dcterms:W3CDTF">2025-12-10T05:29:49Z</dcterms:created>
  <dcterms:modified xsi:type="dcterms:W3CDTF">2025-12-10T05:29:49Z</dcterms:modified>
</cp:coreProperties>
</file>

<file path=docProps/custom.xml><?xml version="1.0" encoding="utf-8"?>
<Properties xmlns="http://schemas.openxmlformats.org/officeDocument/2006/custom-properties" xmlns:vt="http://schemas.openxmlformats.org/officeDocument/2006/docPropsVTypes"/>
</file>