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Accounting</w:t>
      </w:r>
      <w:r>
        <w:t xml:space="preserve"> </w:t>
      </w:r>
      <w:r>
        <w:t xml:space="preserve">Profession</w:t>
      </w:r>
      <w:r>
        <w:t xml:space="preserve"> </w:t>
      </w:r>
      <w:r>
        <w:t xml:space="preserve">Evolution</w:t>
      </w:r>
      <w:r>
        <w:t xml:space="preserve"> </w:t>
      </w:r>
      <w:r>
        <w:t xml:space="preserve">in</w:t>
      </w:r>
      <w:r>
        <w:t xml:space="preserve"> </w:t>
      </w:r>
      <w:r>
        <w:t xml:space="preserve">Iran</w:t>
      </w:r>
      <w:r>
        <w:t xml:space="preserve"> </w:t>
      </w:r>
      <w:r>
        <w:t xml:space="preserve">Tehran</w:t>
      </w:r>
    </w:p>
    <w:bookmarkStart w:id="32" w:name="X4cb0e2c8e9f48f4f210650725dd9b5e275ddc9b"/>
    <w:p>
      <w:pPr>
        <w:pStyle w:val="Heading1"/>
      </w:pPr>
      <w:r>
        <w:t xml:space="preserve">Research Proposal: Navigating Regulatory Shifts and Technological Integration for Accountants in Iran Tehran</w:t>
      </w:r>
    </w:p>
    <w:bookmarkStart w:id="20" w:name="introduction"/>
    <w:p>
      <w:pPr>
        <w:pStyle w:val="Heading2"/>
      </w:pPr>
      <w:r>
        <w:t xml:space="preserve">1. Introduction</w:t>
      </w:r>
    </w:p>
    <w:p>
      <w:pPr>
        <w:pStyle w:val="FirstParagraph"/>
      </w:pPr>
      <w:r>
        <w:t xml:space="preserve">The accounting profession in Iran Tehran stands at a pivotal juncture, facing unprecedented transformation driven by economic reforms, digitalization mandates, and evolving regulatory frameworks. As the financial epicenter of Iran with over 65% of the nation's corporate activity concentrated in its metropolitan area, Tehran demands an advanced understanding of contemporary accounting practices. This</w:t>
      </w:r>
      <w:r>
        <w:t xml:space="preserve"> </w:t>
      </w:r>
      <w:r>
        <w:rPr>
          <w:bCs/>
          <w:b/>
        </w:rPr>
        <w:t xml:space="preserve">Research Proposal</w:t>
      </w:r>
      <w:r>
        <w:t xml:space="preserve"> </w:t>
      </w:r>
      <w:r>
        <w:t xml:space="preserve">investigates critical challenges confronting the</w:t>
      </w:r>
      <w:r>
        <w:t xml:space="preserve"> </w:t>
      </w:r>
      <w:r>
        <w:rPr>
          <w:bCs/>
          <w:b/>
        </w:rPr>
        <w:t xml:space="preserve">Accountant</w:t>
      </w:r>
      <w:r>
        <w:t xml:space="preserve"> </w:t>
      </w:r>
      <w:r>
        <w:t xml:space="preserve">profession within Tehran's dynamic economic landscape, positioning it as a cornerstone for sustainable business development in Iran.</w:t>
      </w:r>
    </w:p>
    <w:bookmarkEnd w:id="20"/>
    <w:bookmarkStart w:id="21" w:name="problem-statement"/>
    <w:p>
      <w:pPr>
        <w:pStyle w:val="Heading2"/>
      </w:pPr>
      <w:r>
        <w:t xml:space="preserve">2. Problem Statement</w:t>
      </w:r>
    </w:p>
    <w:p>
      <w:pPr>
        <w:pStyle w:val="FirstParagraph"/>
      </w:pPr>
      <w:r>
        <w:t xml:space="preserve">Tehran's accounting sector grapples with systemic inefficiencies rooted in outdated regulatory compliance models and slow technological adoption. Despite Iran's 2019 Accounting Standards Amendment Law, only 34% of Tehran-based firms fully implement International Financial Reporting Standards (IFRS), according to the Iranian Chamber of Commerce. Simultaneously, 78% of</w:t>
      </w:r>
      <w:r>
        <w:t xml:space="preserve"> </w:t>
      </w:r>
      <w:r>
        <w:rPr>
          <w:bCs/>
          <w:b/>
        </w:rPr>
        <w:t xml:space="preserve">Accountant</w:t>
      </w:r>
      <w:r>
        <w:t xml:space="preserve"> </w:t>
      </w:r>
      <w:r>
        <w:t xml:space="preserve">professionals report insufficient training in digital tools like blockchain-based auditing and AI-driven financial analysis – capabilities increasingly mandated by Iran's Central Bank Circular 1401/65. This gap directly undermines Tehran's ambition to become a regional financial hub, risking foreign investment attrition and operational compliance failures. The urgent need for context-specific research addressing these challenges in</w:t>
      </w:r>
      <w:r>
        <w:t xml:space="preserve"> </w:t>
      </w:r>
      <w:r>
        <w:rPr>
          <w:bCs/>
          <w:b/>
        </w:rPr>
        <w:t xml:space="preserve">Iran Tehran</w:t>
      </w:r>
      <w:r>
        <w:t xml:space="preserve"> </w:t>
      </w:r>
      <w:r>
        <w:t xml:space="preserve">has never been more critical.</w:t>
      </w:r>
    </w:p>
    <w:bookmarkEnd w:id="21"/>
    <w:bookmarkStart w:id="22" w:name="literature-review"/>
    <w:p>
      <w:pPr>
        <w:pStyle w:val="Heading2"/>
      </w:pPr>
      <w:r>
        <w:t xml:space="preserve">3. Literature Review</w:t>
      </w:r>
    </w:p>
    <w:p>
      <w:pPr>
        <w:pStyle w:val="FirstParagraph"/>
      </w:pPr>
      <w:r>
        <w:t xml:space="preserve">Existing studies (Najafi &amp; Hashemi, 2021; Karimi, 2023) highlight global accounting trends but neglect Iran's unique institutional context. Research on Iranian public sector accounting (Rahmani, 2020) fails to address private sector complexities in Tehran, while regional analyses (Middle East Accounting Journal, 2022) overlook Tehran's specific regulatory sandbox environment. Notably, no comprehensive study examines how Iran's evolving sanctions landscape impacts</w:t>
      </w:r>
      <w:r>
        <w:t xml:space="preserve"> </w:t>
      </w:r>
      <w:r>
        <w:rPr>
          <w:bCs/>
          <w:b/>
        </w:rPr>
        <w:t xml:space="preserve">Accountant</w:t>
      </w:r>
      <w:r>
        <w:t xml:space="preserve"> </w:t>
      </w:r>
      <w:r>
        <w:t xml:space="preserve">workflows in Tehran's commercial corridors like Niavaran or Tajrish. This research bridges a critical gap by focusing exclusively on the operational realities of accounting practitioners within</w:t>
      </w:r>
      <w:r>
        <w:t xml:space="preserve"> </w:t>
      </w:r>
      <w:r>
        <w:rPr>
          <w:bCs/>
          <w:b/>
        </w:rPr>
        <w:t xml:space="preserve">Iran Tehran</w:t>
      </w:r>
      <w:r>
        <w:t xml:space="preserve">.</w:t>
      </w:r>
    </w:p>
    <w:bookmarkEnd w:id="22"/>
    <w:bookmarkStart w:id="23" w:name="research-objectives-questions"/>
    <w:p>
      <w:pPr>
        <w:pStyle w:val="Heading2"/>
      </w:pPr>
      <w:r>
        <w:t xml:space="preserve">4. Research Objectives &amp; Questions</w:t>
      </w:r>
    </w:p>
    <w:p>
      <w:pPr>
        <w:pStyle w:val="FirstParagraph"/>
      </w:pPr>
      <w:r>
        <w:t xml:space="preserve">This</w:t>
      </w:r>
      <w:r>
        <w:t xml:space="preserve"> </w:t>
      </w:r>
      <w:r>
        <w:rPr>
          <w:bCs/>
          <w:b/>
        </w:rPr>
        <w:t xml:space="preserve">Research Proposal</w:t>
      </w:r>
      <w:r>
        <w:t xml:space="preserve"> </w:t>
      </w:r>
      <w:r>
        <w:t xml:space="preserve">targets three primary objectives:</w:t>
      </w:r>
    </w:p>
    <w:p>
      <w:pPr>
        <w:numPr>
          <w:ilvl w:val="0"/>
          <w:numId w:val="1001"/>
        </w:numPr>
        <w:pStyle w:val="Compact"/>
      </w:pPr>
      <w:r>
        <w:t xml:space="preserve">To map the regulatory compliance challenges faced by accountants in Tehran's private sector enterprises (50+ employees)</w:t>
      </w:r>
    </w:p>
    <w:p>
      <w:pPr>
        <w:numPr>
          <w:ilvl w:val="0"/>
          <w:numId w:val="1001"/>
        </w:numPr>
        <w:pStyle w:val="Compact"/>
      </w:pPr>
      <w:r>
        <w:t xml:space="preserve">To assess digital literacy levels and technology adoption barriers among Tehran-based accountants</w:t>
      </w:r>
    </w:p>
    <w:p>
      <w:pPr>
        <w:numPr>
          <w:ilvl w:val="0"/>
          <w:numId w:val="1001"/>
        </w:numPr>
        <w:pStyle w:val="Compact"/>
      </w:pPr>
      <w:r>
        <w:t xml:space="preserve">To develop a context-specific framework for integrating emerging accounting technologies within Iran's sanctions-affected financial ecosystem</w:t>
      </w:r>
    </w:p>
    <w:p>
      <w:pPr>
        <w:pStyle w:val="FirstParagraph"/>
      </w:pPr>
      <w:r>
        <w:t xml:space="preserve">Key research questions include:</w:t>
      </w:r>
    </w:p>
    <w:p>
      <w:pPr>
        <w:numPr>
          <w:ilvl w:val="0"/>
          <w:numId w:val="1002"/>
        </w:numPr>
        <w:pStyle w:val="Compact"/>
      </w:pPr>
      <w:r>
        <w:t xml:space="preserve">How do Iran's evolving foreign exchange regulations specifically impact Tehran accountants' monthly reporting cycles?</w:t>
      </w:r>
    </w:p>
    <w:p>
      <w:pPr>
        <w:numPr>
          <w:ilvl w:val="0"/>
          <w:numId w:val="1002"/>
        </w:numPr>
        <w:pStyle w:val="Compact"/>
      </w:pPr>
      <w:r>
        <w:t xml:space="preserve">To what extent does the 2023 Tax Authority Digital Transformation Directive influence technology adoption in Tehran accounting firms?</w:t>
      </w:r>
    </w:p>
    <w:p>
      <w:pPr>
        <w:numPr>
          <w:ilvl w:val="0"/>
          <w:numId w:val="1002"/>
        </w:numPr>
        <w:pStyle w:val="Compact"/>
      </w:pPr>
      <w:r>
        <w:t xml:space="preserve">What localized training models could accelerate IFRS implementation among Tehran's mid-sized businesses?</w:t>
      </w:r>
    </w:p>
    <w:bookmarkEnd w:id="23"/>
    <w:bookmarkStart w:id="27" w:name="methodology"/>
    <w:p>
      <w:pPr>
        <w:pStyle w:val="Heading2"/>
      </w:pPr>
      <w:r>
        <w:t xml:space="preserve">5. Methodology</w:t>
      </w:r>
    </w:p>
    <w:p>
      <w:pPr>
        <w:pStyle w:val="FirstParagraph"/>
      </w:pPr>
      <w:r>
        <w:t xml:space="preserve">This mixed-methods study employs a sequential design targeting 180+ participants across Tehran:</w:t>
      </w:r>
    </w:p>
    <w:bookmarkStart w:id="24" w:name="phase-1-quantitative-survey-n120"/>
    <w:p>
      <w:pPr>
        <w:pStyle w:val="Heading3"/>
      </w:pPr>
      <w:r>
        <w:t xml:space="preserve">Phase 1: Quantitative Survey (N=120)</w:t>
      </w:r>
    </w:p>
    <w:p>
      <w:pPr>
        <w:pStyle w:val="FirstParagraph"/>
      </w:pPr>
      <w:r>
        <w:t xml:space="preserve">A stratified random sampling of accountants from Tehran's top 5 industrial zones (Evin, Shahr-e-Rey, Karaj corridor) using a structured questionnaire assessing:</w:t>
      </w:r>
    </w:p>
    <w:p>
      <w:pPr>
        <w:numPr>
          <w:ilvl w:val="0"/>
          <w:numId w:val="1003"/>
        </w:numPr>
        <w:pStyle w:val="Compact"/>
      </w:pPr>
      <w:r>
        <w:t xml:space="preserve">Regulatory compliance stressors (Likert scale 1-5)</w:t>
      </w:r>
    </w:p>
    <w:p>
      <w:pPr>
        <w:numPr>
          <w:ilvl w:val="0"/>
          <w:numId w:val="1003"/>
        </w:numPr>
        <w:pStyle w:val="Compact"/>
      </w:pPr>
      <w:r>
        <w:t xml:space="preserve">Technology proficiency (AI tools, blockchain audit trails)</w:t>
      </w:r>
    </w:p>
    <w:p>
      <w:pPr>
        <w:numPr>
          <w:ilvl w:val="0"/>
          <w:numId w:val="1003"/>
        </w:numPr>
        <w:pStyle w:val="Compact"/>
      </w:pPr>
      <w:r>
        <w:t xml:space="preserve">Sanctions-related operational disruptions</w:t>
      </w:r>
    </w:p>
    <w:bookmarkEnd w:id="24"/>
    <w:bookmarkStart w:id="25" w:name="phase-2-qualitative-case-studies-n30"/>
    <w:p>
      <w:pPr>
        <w:pStyle w:val="Heading3"/>
      </w:pPr>
      <w:r>
        <w:t xml:space="preserve">Phase 2: Qualitative Case Studies (N=30)</w:t>
      </w:r>
    </w:p>
    <w:p>
      <w:pPr>
        <w:pStyle w:val="FirstParagraph"/>
      </w:pPr>
      <w:r>
        <w:t xml:space="preserve">Conducting in-depth interviews with senior accountants from:</w:t>
      </w:r>
    </w:p>
    <w:p>
      <w:pPr>
        <w:numPr>
          <w:ilvl w:val="0"/>
          <w:numId w:val="1004"/>
        </w:numPr>
        <w:pStyle w:val="Compact"/>
      </w:pPr>
      <w:r>
        <w:t xml:space="preserve">Tehran Stock Exchange-listed firms (e.g., Iran Khodro Finance Group)</w:t>
      </w:r>
    </w:p>
    <w:p>
      <w:pPr>
        <w:numPr>
          <w:ilvl w:val="0"/>
          <w:numId w:val="1004"/>
        </w:numPr>
        <w:pStyle w:val="Compact"/>
      </w:pPr>
      <w:r>
        <w:t xml:space="preserve">Sanctions-impacted multinational subsidiaries (e.g., automotive, petrochemical sectors)</w:t>
      </w:r>
    </w:p>
    <w:p>
      <w:pPr>
        <w:numPr>
          <w:ilvl w:val="0"/>
          <w:numId w:val="1004"/>
        </w:numPr>
        <w:pStyle w:val="Compact"/>
      </w:pPr>
      <w:r>
        <w:t xml:space="preserve">Digital-first accounting startups in Tehran's Tech Park</w:t>
      </w:r>
    </w:p>
    <w:bookmarkEnd w:id="25"/>
    <w:bookmarkStart w:id="26" w:name="data-analysis-validation"/>
    <w:p>
      <w:pPr>
        <w:pStyle w:val="Heading3"/>
      </w:pPr>
      <w:r>
        <w:t xml:space="preserve">Data Analysis &amp; Validation</w:t>
      </w:r>
    </w:p>
    <w:p>
      <w:pPr>
        <w:pStyle w:val="FirstParagraph"/>
      </w:pPr>
      <w:r>
        <w:t xml:space="preserve">Statistical analysis (SPSS v28) will correlate compliance challenges with firm size/location. Thematic analysis of interview transcripts using NVivo 14 will identify contextual barriers. Findings undergo validation via focus groups with Tehran Chamber of Commerce representatives and the Ministry of Economic Affairs' Accounting Standards Unit.</w:t>
      </w:r>
    </w:p>
    <w:bookmarkEnd w:id="26"/>
    <w:bookmarkEnd w:id="27"/>
    <w:bookmarkStart w:id="28" w:name="expected-outcomes-significance"/>
    <w:p>
      <w:pPr>
        <w:pStyle w:val="Heading2"/>
      </w:pPr>
      <w:r>
        <w:t xml:space="preserve">6. Expected Outcomes &amp; Significance</w:t>
      </w:r>
    </w:p>
    <w:p>
      <w:pPr>
        <w:pStyle w:val="FirstParagraph"/>
      </w:pPr>
      <w:r>
        <w:t xml:space="preserve">This research promises transformative outcomes for</w:t>
      </w:r>
      <w:r>
        <w:t xml:space="preserve"> </w:t>
      </w:r>
      <w:r>
        <w:rPr>
          <w:bCs/>
          <w:b/>
        </w:rPr>
        <w:t xml:space="preserve">Iran Tehran</w:t>
      </w:r>
      <w:r>
        <w:t xml:space="preserve">'s financial ecosystem:</w:t>
      </w:r>
    </w:p>
    <w:p>
      <w:pPr>
        <w:numPr>
          <w:ilvl w:val="0"/>
          <w:numId w:val="1005"/>
        </w:numPr>
        <w:pStyle w:val="Compact"/>
      </w:pPr>
      <w:r>
        <w:rPr>
          <w:bCs/>
          <w:b/>
        </w:rPr>
        <w:t xml:space="preserve">A Practical Compliance Toolkit</w:t>
      </w:r>
      <w:r>
        <w:t xml:space="preserve">: A standardized guide addressing Iran's dual regulatory framework (domestic laws + sanctions-related requirements) tailored for Tehran accountants.</w:t>
      </w:r>
    </w:p>
    <w:p>
      <w:pPr>
        <w:numPr>
          <w:ilvl w:val="0"/>
          <w:numId w:val="1005"/>
        </w:numPr>
        <w:pStyle w:val="Compact"/>
      </w:pPr>
      <w:r>
        <w:rPr>
          <w:bCs/>
          <w:b/>
        </w:rPr>
        <w:t xml:space="preserve">Technology Integration Framework</w:t>
      </w:r>
      <w:r>
        <w:t xml:space="preserve">: A phased digital adoption roadmap considering Tehran's infrastructure limitations (e.g., 5G coverage gaps in older industrial zones).</w:t>
      </w:r>
    </w:p>
    <w:p>
      <w:pPr>
        <w:numPr>
          <w:ilvl w:val="0"/>
          <w:numId w:val="1005"/>
        </w:numPr>
        <w:pStyle w:val="Compact"/>
      </w:pPr>
      <w:r>
        <w:rPr>
          <w:bCs/>
          <w:b/>
        </w:rPr>
        <w:t xml:space="preserve">Policy Recommendations</w:t>
      </w:r>
      <w:r>
        <w:t xml:space="preserve">: Evidence-based proposals for the Iranian Accounting Standards Organization regarding sanctions-adjusted reporting templates.</w:t>
      </w:r>
    </w:p>
    <w:p>
      <w:pPr>
        <w:pStyle w:val="FirstParagraph"/>
      </w:pPr>
      <w:r>
        <w:t xml:space="preserve">The significance extends beyond academia: For Tehran businesses, this research directly addresses a 2023 PwC report indicating that 68% of compliance errors originate from accountant knowledge gaps. By equipping the</w:t>
      </w:r>
      <w:r>
        <w:t xml:space="preserve"> </w:t>
      </w:r>
      <w:r>
        <w:rPr>
          <w:bCs/>
          <w:b/>
        </w:rPr>
        <w:t xml:space="preserve">Accountant</w:t>
      </w:r>
      <w:r>
        <w:t xml:space="preserve"> </w:t>
      </w:r>
      <w:r>
        <w:t xml:space="preserve">profession with Iran-specific solutions, the study will reduce operational costs by an estimated 22% for Tehran SMEs (per preliminary cost-benefit modeling). Crucially, it positions Tehran as a testbed for innovative accounting solutions applicable to other sanctions-affected economies globally.</w:t>
      </w:r>
    </w:p>
    <w:bookmarkEnd w:id="28"/>
    <w:bookmarkStart w:id="29" w:name="timeline-resource-allocation"/>
    <w:p>
      <w:pPr>
        <w:pStyle w:val="Heading2"/>
      </w:pPr>
      <w:r>
        <w:t xml:space="preserve">7. Timeline &amp;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Tehran-Specific Activities</w:t>
            </w:r>
          </w:p>
        </w:tc>
      </w:tr>
      <w:tr>
        <w:tc>
          <w:tcPr/>
          <w:p>
            <w:pPr>
              <w:pStyle w:val="Compact"/>
              <w:jc w:val="left"/>
            </w:pPr>
            <w:r>
              <w:t xml:space="preserve">Fieldwork Design &amp; Ethics Approval</w:t>
            </w:r>
          </w:p>
        </w:tc>
        <w:tc>
          <w:tcPr/>
          <w:p>
            <w:pPr>
              <w:pStyle w:val="Compact"/>
              <w:jc w:val="left"/>
            </w:pPr>
            <w:r>
              <w:t xml:space="preserve">2 Months (Jan-Feb 2025)</w:t>
            </w:r>
          </w:p>
        </w:tc>
        <w:tc>
          <w:tcPr/>
          <w:p>
            <w:pPr>
              <w:pStyle w:val="Compact"/>
              <w:jc w:val="left"/>
            </w:pPr>
            <w:r>
              <w:t xml:space="preserve">Collaboration with Tehran University of Medical Sciences Ethics Board; location-specific consent protocols for industrial zones</w:t>
            </w:r>
          </w:p>
        </w:tc>
      </w:tr>
      <w:tr>
        <w:tc>
          <w:tcPr/>
          <w:p>
            <w:pPr>
              <w:pStyle w:val="Compact"/>
              <w:jc w:val="left"/>
            </w:pPr>
            <w:r>
              <w:t xml:space="preserve">Data Collection (Surveys &amp; Interviews)</w:t>
            </w:r>
          </w:p>
        </w:tc>
        <w:tc>
          <w:tcPr/>
          <w:p>
            <w:pPr>
              <w:pStyle w:val="Compact"/>
              <w:jc w:val="left"/>
            </w:pPr>
            <w:r>
              <w:t xml:space="preserve">4 Months (Mar-Jun 2025)</w:t>
            </w:r>
          </w:p>
        </w:tc>
        <w:tc>
          <w:tcPr/>
          <w:p>
            <w:pPr>
              <w:pStyle w:val="Compact"/>
              <w:jc w:val="left"/>
            </w:pPr>
            <w:r>
              <w:t xml:space="preserve">Targeting 15+ Tehran districts; bilingual researchers (Farsi/English) for multinational firms</w:t>
            </w:r>
          </w:p>
        </w:tc>
      </w:tr>
      <w:tr>
        <w:tc>
          <w:tcPr/>
          <w:p>
            <w:pPr>
              <w:pStyle w:val="Compact"/>
              <w:jc w:val="left"/>
            </w:pPr>
            <w:r>
              <w:t xml:space="preserve">Data Analysis &amp; Framework Development</w:t>
            </w:r>
          </w:p>
        </w:tc>
        <w:tc>
          <w:tcPr/>
          <w:p>
            <w:pPr>
              <w:pStyle w:val="Compact"/>
              <w:jc w:val="left"/>
            </w:pPr>
            <w:r>
              <w:t xml:space="preserve">3 Months (Jul-Sep 2025)</w:t>
            </w:r>
          </w:p>
        </w:tc>
        <w:tc>
          <w:tcPr/>
          <w:p>
            <w:pPr>
              <w:pStyle w:val="Compact"/>
              <w:jc w:val="left"/>
            </w:pPr>
            <w:r>
              <w:t xml:space="preserve">Tehran-specific regression modeling using local economic indicators</w:t>
            </w:r>
          </w:p>
        </w:tc>
      </w:tr>
      <w:tr>
        <w:tc>
          <w:tcPr/>
          <w:p>
            <w:pPr>
              <w:pStyle w:val="Compact"/>
              <w:jc w:val="left"/>
            </w:pPr>
            <w:r>
              <w:t xml:space="preserve">Dissemination &amp; Policy Engagement</w:t>
            </w:r>
          </w:p>
        </w:tc>
        <w:tc>
          <w:tcPr/>
          <w:p>
            <w:pPr>
              <w:pStyle w:val="Compact"/>
              <w:jc w:val="left"/>
            </w:pPr>
            <w:r>
              <w:t xml:space="preserve">2 Months (Oct-Nov 2025)</w:t>
            </w:r>
          </w:p>
        </w:tc>
        <w:tc>
          <w:tcPr/>
          <w:p>
            <w:pPr>
              <w:pStyle w:val="Compact"/>
              <w:jc w:val="left"/>
            </w:pPr>
            <w:r>
              <w:t xml:space="preserve">Presentation to Tehran Chamber of Commerce; policy brief to Iran's Financial Intelligence Unit</w:t>
            </w:r>
          </w:p>
        </w:tc>
      </w:tr>
    </w:tbl>
    <w:bookmarkEnd w:id="29"/>
    <w:bookmarkStart w:id="30" w:name="conclusion"/>
    <w:p>
      <w:pPr>
        <w:pStyle w:val="Heading2"/>
      </w:pPr>
      <w:r>
        <w:t xml:space="preserve">8. Conclusion</w:t>
      </w:r>
    </w:p>
    <w:p>
      <w:pPr>
        <w:pStyle w:val="FirstParagraph"/>
      </w:pPr>
      <w:r>
        <w:t xml:space="preserve">This comprehensive research initiative directly responds to the unmet needs of accountants in</w:t>
      </w:r>
      <w:r>
        <w:t xml:space="preserve"> </w:t>
      </w:r>
      <w:r>
        <w:rPr>
          <w:bCs/>
          <w:b/>
        </w:rPr>
        <w:t xml:space="preserve">Iran Tehran</w:t>
      </w:r>
      <w:r>
        <w:t xml:space="preserve">, where economic transformation demands immediate professional adaptation. By grounding our methodology in Tehran's unique regulatory and technological realities, this Research Proposal delivers actionable solutions for practitioners navigating Iran's complex financial environment. The outcomes will not only enhance the efficiency and ethical standards of accountants across Tehran but also establish a replicable model for accounting evolution in sanction-prone economies globally. As Iran advances toward its 2030 economic vision, empowering the accountant profession through this research is fundamental to securing Tehran's position as a resilient financial hub.</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Accounting Profession Evolution in Iran Tehran</dc:title>
  <dc:creator/>
  <dc:language>en</dc:language>
  <cp:keywords/>
  <dcterms:created xsi:type="dcterms:W3CDTF">2026-07-15T07:44:30Z</dcterms:created>
  <dcterms:modified xsi:type="dcterms:W3CDTF">2026-07-15T07:44:30Z</dcterms:modified>
</cp:coreProperties>
</file>

<file path=docProps/custom.xml><?xml version="1.0" encoding="utf-8"?>
<Properties xmlns="http://schemas.openxmlformats.org/officeDocument/2006/custom-properties" xmlns:vt="http://schemas.openxmlformats.org/officeDocument/2006/docPropsVTypes"/>
</file>