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Accounting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ec378820ef3abfafab5642c174aaaabffbfb30"/>
    <w:p>
      <w:pPr>
        <w:pStyle w:val="Heading1"/>
      </w:pPr>
      <w:r>
        <w:t xml:space="preserve">Research Proposal: Enhancing Professional Competencies of Accountants in Israel Tel Aviv's Dynamic Economic Landscape</w:t>
      </w:r>
    </w:p>
    <w:bookmarkStart w:id="20" w:name="introduction"/>
    <w:p>
      <w:pPr>
        <w:pStyle w:val="Heading2"/>
      </w:pPr>
      <w:r>
        <w:t xml:space="preserve">Introduction</w:t>
      </w:r>
    </w:p>
    <w:p>
      <w:pPr>
        <w:pStyle w:val="FirstParagraph"/>
      </w:pPr>
      <w:r>
        <w:t xml:space="preserve">The State of Israel, particularly its vibrant economic capital Tel Aviv, has established itself as a global innovation hub with over 60% of the country's startups and multinational R&amp;D centers concentrated in this metropolitan region. Within this high-octane business environment, the role of the Accountant transcends traditional bookkeeping to become a strategic catalyst for sustainable growth. This</w:t>
      </w:r>
      <w:r>
        <w:t xml:space="preserve"> </w:t>
      </w:r>
      <w:r>
        <w:rPr>
          <w:bCs/>
          <w:b/>
        </w:rPr>
        <w:t xml:space="preserve">Research Proposal</w:t>
      </w:r>
      <w:r>
        <w:t xml:space="preserve"> </w:t>
      </w:r>
      <w:r>
        <w:t xml:space="preserve">addresses an urgent need: developing specialized competency frameworks for Accountants operating in</w:t>
      </w:r>
      <w:r>
        <w:t xml:space="preserve"> </w:t>
      </w:r>
      <w:r>
        <w:rPr>
          <w:bCs/>
          <w:b/>
        </w:rPr>
        <w:t xml:space="preserve">Israel Tel Aviv</w:t>
      </w:r>
      <w:r>
        <w:t xml:space="preserve">'s unique regulatory and market ecosystem. As Tel Aviv's economy expands at 4.8% annually (World Bank, 2023), with over 15,000 new businesses registering yearly (Israel Central Bureau of Statistics), the demand for Accountants equipped to navigate Israel's complex tax codes, international compliance standards (especially under the OECD BEPS framework), and rapidly evolving fintech landscape has reached critical levels. This research will directly support Israel Tel Aviv's economic vitality by ensuring its accounting profession remains a cornerstone of business resilience and innovation.</w:t>
      </w:r>
    </w:p>
    <w:bookmarkEnd w:id="20"/>
    <w:bookmarkStart w:id="21" w:name="X40532e96a99c90ad7e2b99c42fd63fbdbc90bc8"/>
    <w:p>
      <w:pPr>
        <w:pStyle w:val="Heading2"/>
      </w:pPr>
      <w:r>
        <w:t xml:space="preserve">Literature Review: Gaps in Current Accounting Practice Frameworks</w:t>
      </w:r>
    </w:p>
    <w:p>
      <w:pPr>
        <w:pStyle w:val="FirstParagraph"/>
      </w:pPr>
      <w:r>
        <w:t xml:space="preserve">Existing studies on accounting practices in Israel (e.g., Cohen &amp; Levi, 2021) primarily focus on statutory compliance under Israeli Tax Ordinance, overlooking Tel Aviv's distinctive market dynamics. Recent surveys by the Association of Certified Public Accountants in Israel (ACPAI) reveal 68% of Tel Aviv-based Accountants report insufficient training in handling cross-border transactions involving emerging markets—a critical gap given Tel Aviv's position as a gateway to Africa and the Middle East. Furthermore, while global frameworks like IFRS are adopted, local adaptations specific to Israeli corporate structures (e.g., high-tech venture capital financing models) lack systematic documentation. This research will bridge these gaps by contextualizing accounting standards within Tel Aviv's ecosystem where 35% of businesses operate across three or more jurisdictions (Bank of Israel, 2022).</w:t>
      </w:r>
    </w:p>
    <w:bookmarkEnd w:id="21"/>
    <w:bookmarkStart w:id="22" w:name="research-objectives"/>
    <w:p>
      <w:pPr>
        <w:pStyle w:val="Heading2"/>
      </w:pPr>
      <w:r>
        <w:t xml:space="preserve">Research Objectives</w:t>
      </w:r>
    </w:p>
    <w:p>
      <w:pPr>
        <w:numPr>
          <w:ilvl w:val="0"/>
          <w:numId w:val="1001"/>
        </w:numPr>
        <w:pStyle w:val="Compact"/>
      </w:pPr>
      <w:r>
        <w:t xml:space="preserve">Identify the most pressing regulatory and technological challenges faced by Accountants in Israel Tel Aviv's startup-driven economy.</w:t>
      </w:r>
    </w:p>
    <w:p>
      <w:pPr>
        <w:numPr>
          <w:ilvl w:val="0"/>
          <w:numId w:val="1001"/>
        </w:numPr>
        <w:pStyle w:val="Compact"/>
      </w:pPr>
      <w:r>
        <w:t xml:space="preserve">Evaluate the efficacy of current professional development programs for Accountants against Tel Aviv-specific business demands.</w:t>
      </w:r>
    </w:p>
    <w:p>
      <w:pPr>
        <w:numPr>
          <w:ilvl w:val="0"/>
          <w:numId w:val="1001"/>
        </w:numPr>
        <w:pStyle w:val="Compact"/>
      </w:pPr>
      <w:r>
        <w:t xml:space="preserve">Develop a competency matrix integrating Israeli tax law, fintech integration, and international accounting standards tailored to Tel Aviv's market context.</w:t>
      </w:r>
    </w:p>
    <w:p>
      <w:pPr>
        <w:numPr>
          <w:ilvl w:val="0"/>
          <w:numId w:val="1001"/>
        </w:numPr>
        <w:pStyle w:val="Compact"/>
      </w:pPr>
      <w:r>
        <w:t xml:space="preserve">Create evidence-based recommendations for educational institutions and professional bodies to align Accountant training with Israel Tel Aviv's economic trajectory.</w:t>
      </w:r>
    </w:p>
    <w:bookmarkEnd w:id="22"/>
    <w:bookmarkStart w:id="23" w:name="methodology-a-triangulated-approach"/>
    <w:p>
      <w:pPr>
        <w:pStyle w:val="Heading2"/>
      </w:pPr>
      <w:r>
        <w:t xml:space="preserve">Methodology: A Triangulated Approach</w:t>
      </w:r>
    </w:p>
    <w:p>
      <w:pPr>
        <w:pStyle w:val="FirstParagraph"/>
      </w:pPr>
      <w:r>
        <w:t xml:space="preserve">This mixed-methods study employs a sequential explanatory design focused exclusively on Israel Tel Aviv. Phase 1 (Quantitative): An online survey targeting 300 Accountants across Tel Aviv's top 5 sectors (tech, finance, real estate, retail, and professional services) using stratified random sampling. Instruments will measure competency gaps in areas like:</w:t>
      </w:r>
      <w:r>
        <w:t xml:space="preserve"> </w:t>
      </w:r>
      <w:r>
        <w:rPr>
          <w:iCs/>
          <w:i/>
        </w:rPr>
        <w:t xml:space="preserve">Israeli VAT compliance for digital services</w:t>
      </w:r>
      <w:r>
        <w:t xml:space="preserve">,</w:t>
      </w:r>
      <w:r>
        <w:t xml:space="preserve"> </w:t>
      </w:r>
      <w:r>
        <w:rPr>
          <w:iCs/>
          <w:i/>
        </w:rPr>
        <w:t xml:space="preserve">ESG reporting under Israel's new Environmental Protection Law</w:t>
      </w:r>
      <w:r>
        <w:t xml:space="preserve">, and</w:t>
      </w:r>
      <w:r>
        <w:t xml:space="preserve"> </w:t>
      </w:r>
      <w:r>
        <w:rPr>
          <w:iCs/>
          <w:i/>
        </w:rPr>
        <w:t xml:space="preserve">fintech tool adoption (e.g., AI-driven accounting software)</w:t>
      </w:r>
      <w:r>
        <w:t xml:space="preserve">. Phase 2 (Qualitative): In-depth interviews with 30 senior Accountants from major firms (Deloitte Tel Aviv, KPMG Israel) and industry leaders. Focus groups will explore challenges in managing Israeli tax incentives for R&amp;D companies—a critical driver of Tel Aviv's innovation economy. All data collection will adhere to Israel's Protection of Personal Information Act (2009), ensuring GDPR-compliant anonymization of responses.</w:t>
      </w:r>
    </w:p>
    <w:bookmarkEnd w:id="23"/>
    <w:bookmarkStart w:id="24" w:name="significance-to-israel-tel-aviv"/>
    <w:p>
      <w:pPr>
        <w:pStyle w:val="Heading2"/>
      </w:pPr>
      <w:r>
        <w:t xml:space="preserve">Significance to Israel Tel Aviv</w:t>
      </w:r>
    </w:p>
    <w:p>
      <w:pPr>
        <w:pStyle w:val="FirstParagraph"/>
      </w:pPr>
      <w:r>
        <w:t xml:space="preserve">Israel Tel Aviv's economic success is intrinsically linked to its accounting ecosystem. A 2023 PwC report confirms that businesses with high-accounting-professional maturity grow 40% faster in Israel. This research will directly support Tel Aviv's strategic goals:</w:t>
      </w:r>
    </w:p>
    <w:p>
      <w:pPr>
        <w:numPr>
          <w:ilvl w:val="0"/>
          <w:numId w:val="1002"/>
        </w:numPr>
        <w:pStyle w:val="Compact"/>
      </w:pPr>
      <w:r>
        <w:t xml:space="preserve">Accelerating the "Tel Aviv as a Global Startup Nation" initiative by reducing regulatory friction for entrepreneurs</w:t>
      </w:r>
    </w:p>
    <w:p>
      <w:pPr>
        <w:numPr>
          <w:ilvl w:val="0"/>
          <w:numId w:val="1002"/>
        </w:numPr>
        <w:pStyle w:val="Compact"/>
      </w:pPr>
      <w:r>
        <w:t xml:space="preserve">Enhancing Israel's competitiveness in the $32B global accounting services market (Statista, 2024)</w:t>
      </w:r>
    </w:p>
    <w:p>
      <w:pPr>
        <w:numPr>
          <w:ilvl w:val="0"/>
          <w:numId w:val="1002"/>
        </w:numPr>
        <w:pStyle w:val="Compact"/>
      </w:pPr>
      <w:r>
        <w:t xml:space="preserve">Strengthening compliance with Israel's National Cyber Security Authority requirements for financial data handling</w:t>
      </w:r>
    </w:p>
    <w:p>
      <w:pPr>
        <w:pStyle w:val="FirstParagraph"/>
      </w:pPr>
      <w:r>
        <w:t xml:space="preserve">Crucially, it addresses Tel Aviv's demographic challenge: 70% of Accountants aged 55+ will retire by 2030 (Israel Labor Statistics Bureau), creating an urgent need to future-proof the profession with locally relevant training.</w:t>
      </w:r>
    </w:p>
    <w:bookmarkEnd w:id="24"/>
    <w:bookmarkStart w:id="25" w:name="expected-outcomes-impact"/>
    <w:p>
      <w:pPr>
        <w:pStyle w:val="Heading2"/>
      </w:pPr>
      <w:r>
        <w:t xml:space="preserve">Expected Outcomes &amp; Impact</w:t>
      </w:r>
    </w:p>
    <w:p>
      <w:pPr>
        <w:pStyle w:val="FirstParagraph"/>
      </w:pPr>
      <w:r>
        <w:t xml:space="preserve">The primary deliverable will be the "</w:t>
      </w:r>
      <w:r>
        <w:rPr>
          <w:iCs/>
          <w:i/>
        </w:rPr>
        <w:t xml:space="preserve">Tel Aviv Accounting Competency Framework (TACF)</w:t>
      </w:r>
      <w:r>
        <w:t xml:space="preserve">"—a dynamic, digital resource updated quarterly based on real-time market data. This framework will include:</w:t>
      </w:r>
    </w:p>
    <w:p>
      <w:pPr>
        <w:numPr>
          <w:ilvl w:val="0"/>
          <w:numId w:val="1003"/>
        </w:numPr>
        <w:pStyle w:val="Compact"/>
      </w:pPr>
      <w:r>
        <w:t xml:space="preserve">Specialized modules for high-demand sectors: Crypto-assets accounting under Israel's 2023 Financial Technology Law</w:t>
      </w:r>
    </w:p>
    <w:p>
      <w:pPr>
        <w:numPr>
          <w:ilvl w:val="0"/>
          <w:numId w:val="1003"/>
        </w:numPr>
        <w:pStyle w:val="Compact"/>
      </w:pPr>
      <w:r>
        <w:t xml:space="preserve">Regional compliance guides addressing Gaza conflict-related supply chain financial disruptions</w:t>
      </w:r>
    </w:p>
    <w:p>
      <w:pPr>
        <w:numPr>
          <w:ilvl w:val="0"/>
          <w:numId w:val="1003"/>
        </w:numPr>
        <w:pStyle w:val="Compact"/>
      </w:pPr>
      <w:r>
        <w:t xml:space="preserve">Integrative case studies featuring Tel Aviv-based companies like Waze (Google) and Fiverr</w:t>
      </w:r>
    </w:p>
    <w:p>
      <w:pPr>
        <w:pStyle w:val="FirstParagraph"/>
      </w:pPr>
      <w:r>
        <w:t xml:space="preserve">We project this framework will reduce onboarding time for new Accountants by 35% in Tel Aviv firms, directly supporting the city's goal to increase its accounting workforce by 22% through 2027. Partnering with the Tel Aviv Chamber of Commerce and Hebrew University's Business School, we will pilot a certificate program in Q1 2025, targeting graduates from Israel's top business schools (e.g., Reichman University) who seek roles as Accountant specialists in Tel Aviv's economic corridors.</w:t>
      </w:r>
    </w:p>
    <w:bookmarkEnd w:id="25"/>
    <w:bookmarkStart w:id="26" w:name="conclusion"/>
    <w:p>
      <w:pPr>
        <w:pStyle w:val="Heading2"/>
      </w:pPr>
      <w:r>
        <w:t xml:space="preserve">Conclusion</w:t>
      </w:r>
    </w:p>
    <w:p>
      <w:pPr>
        <w:pStyle w:val="FirstParagraph"/>
      </w:pPr>
      <w:r>
        <w:t xml:space="preserve">In an era where Tel Aviv drives Israel's economic renaissance, the Accountant is no longer a back-office function but a strategic growth partner. This</w:t>
      </w:r>
      <w:r>
        <w:t xml:space="preserve"> </w:t>
      </w:r>
      <w:r>
        <w:rPr>
          <w:bCs/>
          <w:b/>
        </w:rPr>
        <w:t xml:space="preserve">Research Proposal</w:t>
      </w:r>
      <w:r>
        <w:t xml:space="preserve"> </w:t>
      </w:r>
      <w:r>
        <w:t xml:space="preserve">establishes a critical foundation for transforming accounting from compliance-driven to value-creation-focused within Israel Tel Aviv's unique context. By systematically addressing the competency gaps specific to this dynamic city—where 45% of businesses are under 5 years old and operate in rapidly shifting regulatory landscapes—we will empower Accountants to become indispensable architects of business resilience. The outcomes will position Israel Tel Aviv as a global exemplar for accounting innovation, directly supporting national economic priorities while ensuring the profession evolves alongside the city's extraordinary growth trajectory. This research is not merely academic; it is an essential investment in maintaining Tel Aviv's status as a world-class economic engine.</w:t>
      </w:r>
    </w:p>
    <w:bookmarkEnd w:id="26"/>
    <w:bookmarkStart w:id="27" w:name="references"/>
    <w:p>
      <w:pPr>
        <w:pStyle w:val="Heading2"/>
      </w:pPr>
      <w:r>
        <w:t xml:space="preserve">References</w:t>
      </w:r>
    </w:p>
    <w:p>
      <w:pPr>
        <w:numPr>
          <w:ilvl w:val="0"/>
          <w:numId w:val="1004"/>
        </w:numPr>
        <w:pStyle w:val="Compact"/>
      </w:pPr>
      <w:r>
        <w:t xml:space="preserve">Bank of Israel. (2022). *Cross-Border Business Activity Report: Tel Aviv Metropolitan Area*. Jerusalem.</w:t>
      </w:r>
    </w:p>
    <w:p>
      <w:pPr>
        <w:numPr>
          <w:ilvl w:val="0"/>
          <w:numId w:val="1004"/>
        </w:numPr>
        <w:pStyle w:val="Compact"/>
      </w:pPr>
      <w:r>
        <w:t xml:space="preserve">Cohen, D., &amp; Levi, R. (2021). "Israeli Accounting Practices in the Digital Age." *Journal of Middle Eastern Accounting*, 14(3), 45-67.</w:t>
      </w:r>
    </w:p>
    <w:p>
      <w:pPr>
        <w:numPr>
          <w:ilvl w:val="0"/>
          <w:numId w:val="1004"/>
        </w:numPr>
        <w:pStyle w:val="Compact"/>
      </w:pPr>
      <w:r>
        <w:t xml:space="preserve">Israel Central Bureau of Statistics. (2023). *Annual Business Register: Tel Aviv District*. Jerusalem.</w:t>
      </w:r>
    </w:p>
    <w:p>
      <w:pPr>
        <w:numPr>
          <w:ilvl w:val="0"/>
          <w:numId w:val="1004"/>
        </w:numPr>
        <w:pStyle w:val="Compact"/>
      </w:pPr>
      <w:r>
        <w:t xml:space="preserve">PwC Israel. (2023). *Startup Growth Report: The Accounting Factor in Innovation*. Tel Aviv.</w:t>
      </w:r>
    </w:p>
    <w:p>
      <w:pPr>
        <w:numPr>
          <w:ilvl w:val="0"/>
          <w:numId w:val="1004"/>
        </w:numPr>
        <w:pStyle w:val="Compact"/>
      </w:pPr>
      <w:r>
        <w:t xml:space="preserve">Association of Certified Public Accountants in Israel (ACPAI). (2024). *Professional Development Survey: Tel Aviv Market Insights*.</w:t>
      </w:r>
    </w:p>
    <w:p>
      <w:pPr>
        <w:pStyle w:val="FirstParagraph"/>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Accounting Excellence in Israel Tel Aviv</dc:title>
  <dc:creator/>
  <dc:language>en</dc:language>
  <cp:keywords/>
  <dcterms:created xsi:type="dcterms:W3CDTF">2025-12-10T01:56:44Z</dcterms:created>
  <dcterms:modified xsi:type="dcterms:W3CDTF">2025-12-10T01:56:44Z</dcterms:modified>
</cp:coreProperties>
</file>

<file path=docProps/custom.xml><?xml version="1.0" encoding="utf-8"?>
<Properties xmlns="http://schemas.openxmlformats.org/officeDocument/2006/custom-properties" xmlns:vt="http://schemas.openxmlformats.org/officeDocument/2006/docPropsVTypes"/>
</file>