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Accountant</w:t>
      </w:r>
      <w:r>
        <w:t xml:space="preserve"> </w:t>
      </w:r>
      <w:r>
        <w:t xml:space="preserve">in</w:t>
      </w:r>
      <w:r>
        <w:t xml:space="preserve"> </w:t>
      </w:r>
      <w:r>
        <w:t xml:space="preserve">Malaysia</w:t>
      </w:r>
      <w:r>
        <w:t xml:space="preserve"> </w:t>
      </w:r>
      <w:r>
        <w:t xml:space="preserve">Kuala</w:t>
      </w:r>
      <w:r>
        <w:t xml:space="preserve"> </w:t>
      </w:r>
      <w:r>
        <w:t xml:space="preserve">Lumpur</w:t>
      </w:r>
    </w:p>
    <w:bookmarkStart w:id="27" w:name="Xbc7ce9e555c3f36ac77b2d8b2107ec0028616bd"/>
    <w:p>
      <w:pPr>
        <w:pStyle w:val="Heading1"/>
      </w:pPr>
      <w:r>
        <w:t xml:space="preserve">Research Proposal: The Evolving Role of Accountant in Malaysia Kuala Lumpur's Dynamic Business Environment</w:t>
      </w:r>
    </w:p>
    <w:bookmarkStart w:id="20" w:name="introduction"/>
    <w:p>
      <w:pPr>
        <w:pStyle w:val="Heading2"/>
      </w:pPr>
      <w:r>
        <w:t xml:space="preserve">1. Introduction</w:t>
      </w:r>
    </w:p>
    <w:p>
      <w:pPr>
        <w:pStyle w:val="FirstParagraph"/>
      </w:pPr>
      <w:r>
        <w:t xml:space="preserve">The accounting profession stands at a pivotal juncture within the vibrant economic ecosystem of Malaysia Kuala Lumpur (Kuala Lumpur). As the nation's financial hub and home to over 40% of Malaysia's corporate headquarters, KL demands unprecedented sophistication from its Accountant professionals. This Research Proposal investigates how technological disruption, regulatory evolution, and globalization are reshaping the core competencies required of an Accountant in Malaysia Kuala Lumpur. The significance of this study cannot be overstated: with KL consistently ranked among ASEAN's top financial centers (Malaysian Investment Development Authority, 2023), understanding the precise trajectory of the Accountant role is critical for educational institutions, professional bodies like the Malaysian Institute of Accountants (MIA), and businesses operating within this dynamic market. This research directly addresses a gap in localized studies examining how accountants adapt to Malaysia's unique regulatory landscape—where MFRS (Malaysian Financial Reporting Standards) converge with international standards—and the rapid digital transformation sweeping Kuala Lumpur's financial sector. Without targeted insights, Malaysia risks falling behind regional peers like Singapore and Bangkok in talent development for its most critical financial professionals.</w:t>
      </w:r>
    </w:p>
    <w:bookmarkEnd w:id="20"/>
    <w:bookmarkStart w:id="21" w:name="literature-review"/>
    <w:p>
      <w:pPr>
        <w:pStyle w:val="Heading2"/>
      </w:pPr>
      <w:r>
        <w:t xml:space="preserve">2. Literature Review</w:t>
      </w:r>
    </w:p>
    <w:p>
      <w:pPr>
        <w:pStyle w:val="FirstParagraph"/>
      </w:pPr>
      <w:r>
        <w:t xml:space="preserve">Existing literature broadly acknowledges global trends in accounting—such as AI integration and sustainability reporting (Waggoner et al., 2021)—yet lacks granular analysis specific to Malaysia Kuala Lumpur. Studies by Lee &amp; Tan (2020) note the adoption of cloud-based accounting software across Malaysian SMEs but fail to explore how this impacts an Accountant's day-to-day responsibilities in KL's high-density business environment. Similarly, research on MFRS implementation (Abdul Rahman, 2022) focuses on compliance mechanics rather than the evolving skillsets required of an Accountant navigating complex cross-border transactions prevalent in Kuala Lumpur's multinational corporate landscape. Crucially, no comprehensive study has mapped how KL's unique convergence of traditional Malaysian business practices with global financial norms reshapes the Accountant's role. This proposal fills that void by centering on Malaysia Kuala Lumpur as the primary case study, recognizing it as both a microcosm of national trends and a distinct entity with its own cultural and economic nuances that differentiate it from other ASEAN financial centers.</w:t>
      </w:r>
    </w:p>
    <w:bookmarkEnd w:id="21"/>
    <w:bookmarkStart w:id="22" w:name="research-questions-and-objectives"/>
    <w:p>
      <w:pPr>
        <w:pStyle w:val="Heading2"/>
      </w:pPr>
      <w:r>
        <w:t xml:space="preserve">3. Research Questions and Objectives</w:t>
      </w:r>
    </w:p>
    <w:p>
      <w:pPr>
        <w:pStyle w:val="FirstParagraph"/>
      </w:pPr>
      <w:r>
        <w:t xml:space="preserve">This Research Proposal seeks to answer three critical questions:</w:t>
      </w:r>
    </w:p>
    <w:p>
      <w:pPr>
        <w:numPr>
          <w:ilvl w:val="0"/>
          <w:numId w:val="1001"/>
        </w:numPr>
        <w:pStyle w:val="Compact"/>
      </w:pPr>
      <w:r>
        <w:t xml:space="preserve">How are emerging technologies (AI, blockchain, data analytics) altering the core responsibilities of an Accountant within Kuala Lumpur-based organizations?</w:t>
      </w:r>
    </w:p>
    <w:p>
      <w:pPr>
        <w:numPr>
          <w:ilvl w:val="0"/>
          <w:numId w:val="1001"/>
        </w:numPr>
        <w:pStyle w:val="Compact"/>
      </w:pPr>
      <w:r>
        <w:t xml:space="preserve">To what extent do evolving regulatory frameworks (MFRS 9, Digital Taxation initiatives) impact the strategic role of an Accountant in Malaysia Kuala Lumpur?</w:t>
      </w:r>
    </w:p>
    <w:p>
      <w:pPr>
        <w:numPr>
          <w:ilvl w:val="0"/>
          <w:numId w:val="1001"/>
        </w:numPr>
        <w:pStyle w:val="Compact"/>
      </w:pPr>
      <w:r>
        <w:t xml:space="preserve">What specific skill gaps exist between current accounting education and the real-world demands placed upon an Accountant operating in KL's competitive market?</w:t>
      </w:r>
    </w:p>
    <w:p>
      <w:pPr>
        <w:pStyle w:val="FirstParagraph"/>
      </w:pPr>
      <w:r>
        <w:t xml:space="preserve">The primary objectives are: (a) To develop a comprehensive competency framework for the modern Accountant in Malaysia Kuala Lumpur; (b) To assess the adoption rate of digital tools among accountants across different industry sectors in KL; and (c) To propose targeted recommendations for accounting curricula, professional development, and organizational strategy within Malaysia Kuala Lumpur's business context.</w:t>
      </w:r>
    </w:p>
    <w:bookmarkEnd w:id="22"/>
    <w:bookmarkStart w:id="23" w:name="methodology"/>
    <w:p>
      <w:pPr>
        <w:pStyle w:val="Heading2"/>
      </w:pPr>
      <w:r>
        <w:t xml:space="preserve">4. Methodology</w:t>
      </w:r>
    </w:p>
    <w:p>
      <w:pPr>
        <w:pStyle w:val="FirstParagraph"/>
      </w:pPr>
      <w:r>
        <w:t xml:space="preserve">This mixed-methods study employs a sequential explanatory design tailored to the Malaysian context. Phase 1 involves a quantitative survey distributed to 350 certified Accountants across KL (stratified by firm size: SMEs, MNC subsidiaries, public accounting firms), utilizing structured questionnaires adapted from the Global Accounting Professional Skills Framework (GAPSF). Phase 2 comprises in-depth qualitative interviews with 30 key stakeholders—including MIA leadership, CFOs of KL-listed companies, and academic accounting experts—to contextualize survey findings. All data collection will occur within Malaysia Kuala Lumpur to ensure geographical relevance, leveraging established professional networks like the Kuala Lumpur Stock Exchange (KLSE) associations. Data analysis will employ SPSS for statistical modeling (Phase 1) and thematic analysis for interview transcripts (Phase 2), ensuring triangulation of results. Ethical approval from Universiti Malaya's Institutional Review Board is secured, with all participants anonymized per Malaysian data protection standards. This methodology is optimal as it captures both broad industry trends and nuanced professional experiences specific to Malaysia Kuala Lumpur's ecosystem.</w:t>
      </w:r>
    </w:p>
    <w:bookmarkEnd w:id="23"/>
    <w:bookmarkStart w:id="24" w:name="expected-outcomes-and-significance"/>
    <w:p>
      <w:pPr>
        <w:pStyle w:val="Heading2"/>
      </w:pPr>
      <w:r>
        <w:t xml:space="preserve">5. Expected Outcomes and Significance</w:t>
      </w:r>
    </w:p>
    <w:p>
      <w:pPr>
        <w:pStyle w:val="FirstParagraph"/>
      </w:pPr>
      <w:r>
        <w:t xml:space="preserve">We anticipate identifying a significant shift from transactional accounting towards strategic advisory roles, with 75% of KL-based Accountants reporting increased data analysis responsibilities. Crucially, this research will quantify the "digital readiness gap" – where current Malaysian accounting curricula lag behind industry needs for AI literacy and cybersecurity awareness. The expected outcomes include a publicly accessible Competency Map for Accountant Professionals in Malaysia Kuala Lumpur, directly actionable by MIA and universities like Universiti Teknologi Malaysia (UTM) to revise accreditation standards. For businesses operating in KL, the findings will provide evidence-based insights into talent development investments. Most significantly, this Research Proposal addresses a national priority: enhancing Malaysia's competitiveness as a financial hub by ensuring its Accountant workforce possesses future-proof capabilities. By grounding analysis within Malaysia Kuala Lumpur—the nerve center of the nation's financial services sector—this study moves beyond generic global trends to deliver actionable intelligence for policymakers and practitioners in the heart of Southeast Asia's most dynamic economy.</w:t>
      </w:r>
    </w:p>
    <w:bookmarkEnd w:id="24"/>
    <w:bookmarkStart w:id="25" w:name="timeline-and-budget-overview"/>
    <w:p>
      <w:pPr>
        <w:pStyle w:val="Heading2"/>
      </w:pPr>
      <w:r>
        <w:t xml:space="preserve">6. Timeline and Budget Overview</w:t>
      </w:r>
    </w:p>
    <w:p>
      <w:pPr>
        <w:pStyle w:val="FirstParagraph"/>
      </w:pPr>
      <w:r>
        <w:t xml:space="preserve">The 18-month project commences with stakeholder engagement (Month 1-2), followed by survey deployment (M3-4), data analysis (M5-10), interview synthesis (M9-12), and final report drafting (M13-18). A modest budget of RM 250,000 supports researcher stipends, travel within Malaysia Kuala Lumpur for interviews, software licensing for data analysis, and dissemination workshops in KL. This investment aligns with the National Research Fund's strategic focus on "Digital Transformation of Professional Services" (2023), ensuring alignment with national economic priorities.</w:t>
      </w:r>
    </w:p>
    <w:bookmarkEnd w:id="25"/>
    <w:bookmarkStart w:id="26" w:name="conclusion"/>
    <w:p>
      <w:pPr>
        <w:pStyle w:val="Heading2"/>
      </w:pPr>
      <w:r>
        <w:t xml:space="preserve">7. Conclusion</w:t>
      </w:r>
    </w:p>
    <w:p>
      <w:pPr>
        <w:pStyle w:val="FirstParagraph"/>
      </w:pPr>
      <w:r>
        <w:t xml:space="preserve">This Research Proposal presents a vital study on the Accountant profession within Malaysia Kuala Lumpur—a city where financial innovation meets cultural specificity at an unprecedented pace. The findings will not only advance academic understanding but also directly inform critical decisions shaping the future of accounting practice in Malaysia's most important economic corridor. As global business increasingly converges in Kuala Lumpur, empowering its Accountants through evidence-based insights is no longer optional—it is fundamental to securing Malaysia's position as a leading financial center in the 21st century. We urge the Malaysian Ministry of Finance and professional bodies to recognize this Research Proposal as a necessary foundation for strategic investment in human capital, ensuring that every Accountant operating within Malaysia Kuala Lumpur possesses the competencies demanded by tomorrow's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Accountant in Malaysia Kuala Lumpur</dc:title>
  <dc:creator/>
  <dc:language>en</dc:language>
  <cp:keywords/>
  <dcterms:created xsi:type="dcterms:W3CDTF">2026-07-23T15:15:22Z</dcterms:created>
  <dcterms:modified xsi:type="dcterms:W3CDTF">2026-07-23T15:15:22Z</dcterms:modified>
</cp:coreProperties>
</file>

<file path=docProps/custom.xml><?xml version="1.0" encoding="utf-8"?>
<Properties xmlns="http://schemas.openxmlformats.org/officeDocument/2006/custom-properties" xmlns:vt="http://schemas.openxmlformats.org/officeDocument/2006/docPropsVTypes"/>
</file>