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Accountants</w:t>
      </w:r>
      <w:r>
        <w:t xml:space="preserve"> </w:t>
      </w:r>
      <w:r>
        <w:t xml:space="preserve">in</w:t>
      </w:r>
      <w:r>
        <w:t xml:space="preserve"> </w:t>
      </w:r>
      <w:r>
        <w:t xml:space="preserve">Morocco</w:t>
      </w:r>
      <w:r>
        <w:t xml:space="preserve"> </w:t>
      </w:r>
      <w:r>
        <w:t xml:space="preserve">Casablanca</w:t>
      </w:r>
    </w:p>
    <w:bookmarkStart w:id="28" w:name="Xa93accdff6b0fae79bbdb4206b55e80b01c722e"/>
    <w:p>
      <w:pPr>
        <w:pStyle w:val="Heading1"/>
      </w:pPr>
      <w:r>
        <w:t xml:space="preserve">Research Proposal: The Evolving Role and Challenges of Accountants in Morocco Casablanca</w:t>
      </w:r>
    </w:p>
    <w:bookmarkStart w:id="20" w:name="introduction"/>
    <w:p>
      <w:pPr>
        <w:pStyle w:val="Heading2"/>
      </w:pPr>
      <w:r>
        <w:t xml:space="preserve">1. Introduction</w:t>
      </w:r>
    </w:p>
    <w:p>
      <w:pPr>
        <w:pStyle w:val="FirstParagraph"/>
      </w:pPr>
      <w:r>
        <w:t xml:space="preserve">This Research Proposal addresses a critical gap in understanding the contemporary professional landscape of</w:t>
      </w:r>
      <w:r>
        <w:t xml:space="preserve"> </w:t>
      </w:r>
      <w:r>
        <w:rPr>
          <w:bCs/>
          <w:b/>
        </w:rPr>
        <w:t xml:space="preserve">Accountant</w:t>
      </w:r>
      <w:r>
        <w:t xml:space="preserve">s within Morocco's economic powerhouse, Casablanca. As the financial and commercial epicenter of Morocco, Casablanca hosts over 70% of the nation's multinational corporations, banking institutions, and industrial enterprises. The evolving regulatory environment—including mandatory adoption of International Financial Reporting Standards (IFRS), digital transformation initiatives like e-invoicing (Nouakchott system), and Morocco's 2030 Vision economic strategy—demands a rigorous examination of how</w:t>
      </w:r>
      <w:r>
        <w:t xml:space="preserve"> </w:t>
      </w:r>
      <w:r>
        <w:rPr>
          <w:bCs/>
          <w:b/>
        </w:rPr>
        <w:t xml:space="preserve">Accountant</w:t>
      </w:r>
      <w:r>
        <w:t xml:space="preserve">s operate in this dynamic context. This study directly responds to the need for localized, evidence-based insights into the professional challenges, skill requirements, and strategic contributions of accounting professionals in</w:t>
      </w:r>
      <w:r>
        <w:t xml:space="preserve"> </w:t>
      </w:r>
      <w:r>
        <w:rPr>
          <w:bCs/>
          <w:b/>
        </w:rPr>
        <w:t xml:space="preserve">Morocco Casablanca</w:t>
      </w:r>
      <w:r>
        <w:t xml:space="preserve">. Without such research, policymakers and educational institutions risk developing misaligned frameworks that fail to support Morocco's economic growth ambitions.</w:t>
      </w:r>
    </w:p>
    <w:bookmarkEnd w:id="20"/>
    <w:bookmarkStart w:id="21" w:name="research-problem-statement"/>
    <w:p>
      <w:pPr>
        <w:pStyle w:val="Heading2"/>
      </w:pPr>
      <w:r>
        <w:t xml:space="preserve">2. Research Problem Statement</w:t>
      </w:r>
    </w:p>
    <w:p>
      <w:pPr>
        <w:pStyle w:val="FirstParagraph"/>
      </w:pPr>
      <w:r>
        <w:t xml:space="preserve">Despite Casablanca's status as Morocco's financial capital, a significant knowledge vacuum exists regarding the day-to-day operational realities faced by modern accountants. Current literature focuses predominantly on macroeconomic indicators or regulatory frameworks without examining how</w:t>
      </w:r>
      <w:r>
        <w:t xml:space="preserve"> </w:t>
      </w:r>
      <w:r>
        <w:rPr>
          <w:bCs/>
          <w:b/>
        </w:rPr>
        <w:t xml:space="preserve">Accountant</w:t>
      </w:r>
      <w:r>
        <w:t xml:space="preserve">s navigate these systems in practice. Key unresolved issues include: (a) The impact of AI-driven accounting software on traditional roles; (b) Gaps between academic curricula and Casablanca's market demands; (c) How gender diversity manifests in senior accounting positions within Moroccan firms; and (d) Compliance challenges arising from Morocco's dual legal system. These gaps hinder effective workforce development, potentially weakening financial transparency across</w:t>
      </w:r>
      <w:r>
        <w:t xml:space="preserve"> </w:t>
      </w:r>
      <w:r>
        <w:rPr>
          <w:bCs/>
          <w:b/>
        </w:rPr>
        <w:t xml:space="preserve">Morocco Casablanca</w:t>
      </w:r>
      <w:r>
        <w:t xml:space="preserve">—a critical concern for attracting foreign investment as highlighted in the 2023 World Bank Ease of Doing Business report.</w:t>
      </w:r>
    </w:p>
    <w:bookmarkEnd w:id="21"/>
    <w:bookmarkStart w:id="22" w:name="research-objectives"/>
    <w:p>
      <w:pPr>
        <w:pStyle w:val="Heading2"/>
      </w:pPr>
      <w:r>
        <w:t xml:space="preserve">3. Research Objectives</w:t>
      </w:r>
    </w:p>
    <w:p>
      <w:pPr>
        <w:pStyle w:val="FirstParagraph"/>
      </w:pPr>
      <w:r>
        <w:rPr>
          <w:bCs/>
          <w:b/>
        </w:rPr>
        <w:t xml:space="preserve">This Research Proposal outlines four specific objectives:</w:t>
      </w:r>
    </w:p>
    <w:p>
      <w:pPr>
        <w:numPr>
          <w:ilvl w:val="0"/>
          <w:numId w:val="1001"/>
        </w:numPr>
        <w:pStyle w:val="Compact"/>
      </w:pPr>
      <w:r>
        <w:t xml:space="preserve">To map the current skill profile required by employers of</w:t>
      </w:r>
      <w:r>
        <w:t xml:space="preserve"> </w:t>
      </w:r>
      <w:r>
        <w:rPr>
          <w:bCs/>
          <w:b/>
        </w:rPr>
        <w:t xml:space="preserve">Accountant</w:t>
      </w:r>
      <w:r>
        <w:t xml:space="preserve">s in Casablanca, comparing it with academic training outcomes.</w:t>
      </w:r>
    </w:p>
    <w:p>
      <w:pPr>
        <w:numPr>
          <w:ilvl w:val="0"/>
          <w:numId w:val="1001"/>
        </w:numPr>
        <w:pStyle w:val="Compact"/>
      </w:pPr>
      <w:r>
        <w:t xml:space="preserve">To assess how regulatory shifts (e.g., Moroccan Accounting Standards vs. IFRS) impact daily accounting operations in Casablanca-based businesses.</w:t>
      </w:r>
    </w:p>
    <w:p>
      <w:pPr>
        <w:numPr>
          <w:ilvl w:val="0"/>
          <w:numId w:val="1001"/>
        </w:numPr>
        <w:pStyle w:val="Compact"/>
      </w:pPr>
      <w:r>
        <w:t xml:space="preserve">To evaluate the adoption rate and effectiveness of digital accounting tools among firms across Casablanca's industrial, commercial, and service sectors.</w:t>
      </w:r>
    </w:p>
    <w:p>
      <w:pPr>
        <w:numPr>
          <w:ilvl w:val="0"/>
          <w:numId w:val="1001"/>
        </w:numPr>
        <w:pStyle w:val="Compact"/>
      </w:pPr>
      <w:r>
        <w:t xml:space="preserve">To identify barriers preventing women from advancing to senior accounting leadership roles within Moroccan organizations in Casablanca.</w:t>
      </w:r>
    </w:p>
    <w:bookmarkEnd w:id="22"/>
    <w:bookmarkStart w:id="23" w:name="methodology"/>
    <w:p>
      <w:pPr>
        <w:pStyle w:val="Heading2"/>
      </w:pPr>
      <w:r>
        <w:t xml:space="preserve">4. Methodology</w:t>
      </w:r>
    </w:p>
    <w:p>
      <w:pPr>
        <w:pStyle w:val="FirstParagraph"/>
      </w:pPr>
      <w:r>
        <w:rPr>
          <w:bCs/>
          <w:b/>
        </w:rPr>
        <w:t xml:space="preserve">This mixed-methods research design</w:t>
      </w:r>
      <w:r>
        <w:t xml:space="preserve"> </w:t>
      </w:r>
      <w:r>
        <w:t xml:space="preserve">ensures comprehensive insights into the Casablanca accounting ecosystem. Phase 1 involves a stratified survey of 300 certified accountants across key sectors (banking, manufacturing, SMEs) using the Moroccan Association of Certified Accountants (AMAC) membership database. Phase 2 includes in-depth interviews with 25 senior finance directors at Casablanca-headquartered companies and representatives from the Ministry of Economy. Crucially, we will employ focus groups to explore gender dynamics in accounting leadership—addressing a critical but understudied dimension within</w:t>
      </w:r>
      <w:r>
        <w:t xml:space="preserve"> </w:t>
      </w:r>
      <w:r>
        <w:rPr>
          <w:bCs/>
          <w:b/>
        </w:rPr>
        <w:t xml:space="preserve">Morocco Casablanca</w:t>
      </w:r>
      <w:r>
        <w:t xml:space="preserve">. Quantitative data will be analyzed via SPSS for correlation between skill gaps and employment outcomes, while thematic analysis will interpret qualitative insights on regulatory challenges. All fieldwork will occur within Casablanca's urban economic zones (e.g., Quartier International de Casablanca, Hay Riad) to ensure contextual relevance.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actionable outcomes with dual significance for Morocco and global accounting practice. First, it will produce a detailed "Accountant Competency Map" specific to</w:t>
      </w:r>
      <w:r>
        <w:t xml:space="preserve"> </w:t>
      </w:r>
      <w:r>
        <w:rPr>
          <w:bCs/>
          <w:b/>
        </w:rPr>
        <w:t xml:space="preserve">Morocco Casablanca</w:t>
      </w:r>
      <w:r>
        <w:t xml:space="preserve">, identifying the top 10 emerging skills (e.g., data analytics, ESG reporting) needed beyond traditional technical knowledge. Second, the study will quantify the cost of compliance failures due to skill mismatches—estimating potential revenue loss for Casablanca firms through inaccurate financial disclosures. Third, it will propose a gender-inclusion framework for accounting leadership development, directly supporting Morocco's National Strategy for Gender Equality (2021-2035). For</w:t>
      </w:r>
      <w:r>
        <w:t xml:space="preserve"> </w:t>
      </w:r>
      <w:r>
        <w:rPr>
          <w:bCs/>
          <w:b/>
        </w:rPr>
        <w:t xml:space="preserve">Morocco Casablanca</w:t>
      </w:r>
      <w:r>
        <w:t xml:space="preserve">, these findings could catalyze partnerships between AMAC and institutions like the Casablanca Finance City Authority to redesign certification programs. Globally, the research will contribute to cross-cultural accounting literature by documenting how emerging economies adapt international standards locally—a critical context for multinational operations.</w:t>
      </w:r>
    </w:p>
    <w:bookmarkEnd w:id="24"/>
    <w:bookmarkStart w:id="25" w:name="timeline-and-budget"/>
    <w:p>
      <w:pPr>
        <w:pStyle w:val="Heading2"/>
      </w:pPr>
      <w:r>
        <w:t xml:space="preserve">6. Timeline and Budget</w:t>
      </w:r>
    </w:p>
    <w:p>
      <w:pPr>
        <w:pStyle w:val="FirstParagraph"/>
      </w:pPr>
      <w:r>
        <w:rPr>
          <w:bCs/>
          <w:b/>
        </w:rPr>
        <w:t xml:space="preserve">Timeline (6 months):</w:t>
      </w:r>
      <w:r>
        <w:br/>
      </w:r>
      <w:r>
        <w:t xml:space="preserve">- Month 1-2: Survey design, ethics approval, and stakeholder outreach in Casablanca</w:t>
      </w:r>
      <w:r>
        <w:br/>
      </w:r>
      <w:r>
        <w:t xml:space="preserve">- Month 3-4: Data collection (surveys &amp; interviews) across Casablanca's economic districts</w:t>
      </w:r>
      <w:r>
        <w:br/>
      </w:r>
      <w:r>
        <w:t xml:space="preserve">- Month 5: Data analysis and validation workshops with AMAC professionals in Casablanca</w:t>
      </w:r>
      <w:r>
        <w:br/>
      </w:r>
      <w:r>
        <w:t xml:space="preserve">- Month 6: Report finalization and dissemination to Moroccan Ministry of Finance</w:t>
      </w:r>
    </w:p>
    <w:p>
      <w:pPr>
        <w:pStyle w:val="BodyText"/>
      </w:pPr>
      <w:r>
        <w:rPr>
          <w:bCs/>
          <w:b/>
        </w:rPr>
        <w:t xml:space="preserve">Budget Allocation:</w:t>
      </w:r>
      <w:r>
        <w:t xml:space="preserve"> </w:t>
      </w:r>
      <w:r>
        <w:t xml:space="preserve">Total estimated cost €48,000 (covering local researcher salaries, translation services for Arabic/French materials, travel within Casablanca, and stakeholder workshop expenses). All funds will be allocated exclusively to fieldwork in</w:t>
      </w:r>
      <w:r>
        <w:t xml:space="preserve"> </w:t>
      </w:r>
      <w:r>
        <w:rPr>
          <w:bCs/>
          <w:b/>
        </w:rPr>
        <w:t xml:space="preserve">Morocco Casablanca</w:t>
      </w:r>
      <w:r>
        <w:t xml:space="preserve">, ensuring 100% contextual relevance.</w:t>
      </w:r>
    </w:p>
    <w:bookmarkEnd w:id="25"/>
    <w:bookmarkStart w:id="26" w:name="conclusion"/>
    <w:p>
      <w:pPr>
        <w:pStyle w:val="Heading2"/>
      </w:pPr>
      <w:r>
        <w:t xml:space="preserve">7. Conclusion</w:t>
      </w:r>
    </w:p>
    <w:p>
      <w:pPr>
        <w:pStyle w:val="FirstParagraph"/>
      </w:pPr>
      <w:r>
        <w:t xml:space="preserve">As Morocco accelerates its economic diversification within the</w:t>
      </w:r>
      <w:r>
        <w:t xml:space="preserve"> </w:t>
      </w:r>
      <w:r>
        <w:rPr>
          <w:bCs/>
          <w:b/>
        </w:rPr>
        <w:t xml:space="preserve">Morocco Casablanca</w:t>
      </w:r>
      <w:r>
        <w:t xml:space="preserve"> </w:t>
      </w:r>
      <w:r>
        <w:t xml:space="preserve">corridor, the accounting profession stands at a pivotal inflection point. This Research Proposal provides the structured methodology needed to transform anecdotal observations into evidence-based strategy for empowering</w:t>
      </w:r>
      <w:r>
        <w:t xml:space="preserve"> </w:t>
      </w:r>
      <w:r>
        <w:rPr>
          <w:bCs/>
          <w:b/>
        </w:rPr>
        <w:t xml:space="preserve">Accountant</w:t>
      </w:r>
      <w:r>
        <w:t xml:space="preserve">s as strategic partners in Morocco's growth. By centering our investigation on Casablanca—the nerve center where global standards meet local practice—this study will generate insights that directly serve Moroccan policymakers, business leaders, and educators. The findings will not only enhance professional development pathways for accountants but also strengthen the financial integrity underpinning</w:t>
      </w:r>
      <w:r>
        <w:t xml:space="preserve"> </w:t>
      </w:r>
      <w:r>
        <w:rPr>
          <w:bCs/>
          <w:b/>
        </w:rPr>
        <w:t xml:space="preserve">Morocco Casablanca</w:t>
      </w:r>
      <w:r>
        <w:t xml:space="preserve">'s ambitions to become a leading African investment destination. Without such targeted research, Morocco risks leaving its accounting talent unprepared for the complexities of 21st-century finance, potentially undermining national economic goals and international competitiveness.</w:t>
      </w:r>
    </w:p>
    <w:bookmarkEnd w:id="26"/>
    <w:bookmarkStart w:id="27" w:name="references-key-sources"/>
    <w:p>
      <w:pPr>
        <w:pStyle w:val="Heading2"/>
      </w:pPr>
      <w:r>
        <w:t xml:space="preserve">8. References (Key Sources)</w:t>
      </w:r>
    </w:p>
    <w:p>
      <w:pPr>
        <w:numPr>
          <w:ilvl w:val="0"/>
          <w:numId w:val="1002"/>
        </w:numPr>
        <w:pStyle w:val="Compact"/>
      </w:pPr>
      <w:r>
        <w:t xml:space="preserve">Ministry of Economy and Finance, Morocco. (2023). *National Accounting Standards Reform Framework*.</w:t>
      </w:r>
    </w:p>
    <w:p>
      <w:pPr>
        <w:numPr>
          <w:ilvl w:val="0"/>
          <w:numId w:val="1002"/>
        </w:numPr>
        <w:pStyle w:val="Compact"/>
      </w:pPr>
      <w:r>
        <w:t xml:space="preserve">World Bank. (2023). *Doing Business in Morocco: Financial Reporting Efficiency Report*.</w:t>
      </w:r>
    </w:p>
    <w:p>
      <w:pPr>
        <w:numPr>
          <w:ilvl w:val="0"/>
          <w:numId w:val="1002"/>
        </w:numPr>
        <w:pStyle w:val="Compact"/>
      </w:pPr>
      <w:r>
        <w:t xml:space="preserve">Association Marocaine des Comptables Agréés (AMAC). (2024). *Trends Survey: Accountant Skills Gap Analysis*.</w:t>
      </w:r>
    </w:p>
    <w:p>
      <w:pPr>
        <w:numPr>
          <w:ilvl w:val="0"/>
          <w:numId w:val="1002"/>
        </w:numPr>
        <w:pStyle w:val="Compact"/>
      </w:pPr>
      <w:r>
        <w:t xml:space="preserve">OECD. (2023). *Digital Transformation in Emerging Markets: Case Study of Casablanca Financial District*.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Accountants in Morocco Casablanca</dc:title>
  <dc:creator/>
  <cp:keywords/>
  <dcterms:created xsi:type="dcterms:W3CDTF">2026-07-21T00:39:04Z</dcterms:created>
  <dcterms:modified xsi:type="dcterms:W3CDTF">2026-07-21T00:39:04Z</dcterms:modified>
</cp:coreProperties>
</file>

<file path=docProps/custom.xml><?xml version="1.0" encoding="utf-8"?>
<Properties xmlns="http://schemas.openxmlformats.org/officeDocument/2006/custom-properties" xmlns:vt="http://schemas.openxmlformats.org/officeDocument/2006/docPropsVTypes"/>
</file>