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Accountant</w:t>
      </w:r>
      <w:r>
        <w:t xml:space="preserve"> </w:t>
      </w:r>
      <w:r>
        <w:t xml:space="preserve">Professional</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8" w:name="X4632f59116a00eeaf28e1e13bd353c1029bda5b"/>
    <w:p>
      <w:pPr>
        <w:pStyle w:val="Heading1"/>
      </w:pPr>
      <w:r>
        <w:t xml:space="preserve">Research Proposal: Advancing Professional Competencies of Accountants in Myanmar Yangon for Sustainable Economic Growth</w:t>
      </w:r>
    </w:p>
    <w:bookmarkStart w:id="20" w:name="abstract-150-words"/>
    <w:p>
      <w:pPr>
        <w:pStyle w:val="Heading2"/>
      </w:pPr>
      <w:r>
        <w:t xml:space="preserve">Abstract (150 words)</w:t>
      </w:r>
    </w:p>
    <w:p>
      <w:pPr>
        <w:pStyle w:val="FirstParagraph"/>
      </w:pPr>
      <w:r>
        <w:t xml:space="preserve">This Research Proposal outlines a critical investigation into the evolving role of the Accountant within Myanmar Yangon’s dynamic economic landscape. As Myanmar's primary commercial hub, Yangon hosts over 60% of the nation’s businesses, yet its accounting profession faces systemic challenges including regulatory shifts, digital adoption gaps, and skill shortages. This study aims to identify barriers to professional development for Accountants operating in Yangon and propose actionable strategies for capacity building. By focusing on Myanmar Yangon’s unique socio-economic context—marked by post-coup reforms, emerging SME growth, and international investment influx—the research will generate evidence-based insights to strengthen financial governance. The findings will directly benefit accounting firms, regulatory bodies like the Myanmar Accounting Standards Board (MASB), and policymakers in developing targeted training frameworks. This Research Proposal underscores the indispensable role of the Accountant as a catalyst for transparent business practices in Yangon's economic recovery.</w:t>
      </w:r>
    </w:p>
    <w:bookmarkEnd w:id="20"/>
    <w:bookmarkStart w:id="21" w:name="X4ecc02e0c7233caad03d2e56422a3278957773c"/>
    <w:p>
      <w:pPr>
        <w:pStyle w:val="Heading2"/>
      </w:pPr>
      <w:r>
        <w:t xml:space="preserve">1. Introduction: The Strategic Imperative of Accountants in Myanmar Yangon (200 words)</w:t>
      </w:r>
    </w:p>
    <w:p>
      <w:pPr>
        <w:pStyle w:val="FirstParagraph"/>
      </w:pPr>
      <w:r>
        <w:t xml:space="preserve">Myanmar Yangon stands at a pivotal juncture in its economic trajectory, with the city serving as the epicenter of national commerce and foreign direct investment. As the most populous urban center—home to over 8 million people—the local business ecosystem demands robust financial oversight. However, the professional standing of the Accountant in Myanmar Yangon remains underdeveloped relative to regional peers. Current challenges include fragmented regulatory compliance (particularly under Myanmar’s revised Tax Code 2023), low adoption of digital accounting tools among SMEs, and a critical shortage of certified professionals equipped for international standards. This Research Proposal addresses a pressing gap: while global trends emphasize accountants as strategic business advisors, Yangon-based Accountants often remain confined to transactional roles due to insufficient continuous education opportunities. The study will analyze how enhancing the competencies of the Accountant directly correlates with improved tax compliance, investor confidence, and sustainable growth in Myanmar Yangon. Without this intervention, the city’s potential to attract global capital remains constrained.</w:t>
      </w:r>
    </w:p>
    <w:bookmarkEnd w:id="21"/>
    <w:bookmarkStart w:id="22" w:name="X5abdaf81417efcf23d06befd70e2e8baca153f0"/>
    <w:p>
      <w:pPr>
        <w:pStyle w:val="Heading2"/>
      </w:pPr>
      <w:r>
        <w:t xml:space="preserve">2. Literature Review: Global Trends vs. Yangon's Reality (180 words)</w:t>
      </w:r>
    </w:p>
    <w:p>
      <w:pPr>
        <w:pStyle w:val="FirstParagraph"/>
      </w:pPr>
      <w:r>
        <w:t xml:space="preserve">Global accounting literature highlights a paradigm shift where Accountants transition from record-keepers to data-driven advisors (ICAEW, 2023). Yet, studies on Myanmar’s accounting sector remain scarce. A 2021 World Bank report noted that only 15% of Yangon-based SMEs utilize digital accounting software, contrasting sharply with ASEAN averages exceeding 65%. Local research by Yangon University (2022) identified "regulatory ambiguity" as the top barrier for Accountants, citing frequent tax law revisions without parallel training. Crucially, no study has examined how Myanmar Yangon’s specific market conditions—such as informal sector dominance (estimated at 70% of GDP), currency volatility, and limited access to international accounting certifications—shape professional development needs. This Research Proposal bridges this gap by contextualizing global best practices within Yangon’s infrastructure constraints. It challenges the assumption that Western training models alone suffice, instead advocating for culturally and economically tailored solutions for the Accountant in Myanmar Yangon.</w:t>
      </w:r>
    </w:p>
    <w:bookmarkEnd w:id="22"/>
    <w:bookmarkStart w:id="23" w:name="research-objectives-100-words"/>
    <w:p>
      <w:pPr>
        <w:pStyle w:val="Heading2"/>
      </w:pPr>
      <w:r>
        <w:t xml:space="preserve">3. Research Objectives (100 words)</w:t>
      </w:r>
    </w:p>
    <w:p>
      <w:pPr>
        <w:numPr>
          <w:ilvl w:val="0"/>
          <w:numId w:val="1001"/>
        </w:numPr>
        <w:pStyle w:val="Compact"/>
      </w:pPr>
      <w:r>
        <w:t xml:space="preserve">Identify key skill gaps among Accountants operating in Myanmar Yangon across regulatory compliance, digital tools, and strategic advisory competencies.</w:t>
      </w:r>
    </w:p>
    <w:p>
      <w:pPr>
        <w:numPr>
          <w:ilvl w:val="0"/>
          <w:numId w:val="1001"/>
        </w:numPr>
        <w:pStyle w:val="Compact"/>
      </w:pPr>
      <w:r>
        <w:t xml:space="preserve">Evaluate the impact of current professional development programs (e.g., CPD courses by Myanmar Institute of Certified Public Accountants) on practical job performance.</w:t>
      </w:r>
    </w:p>
    <w:p>
      <w:pPr>
        <w:numPr>
          <w:ilvl w:val="0"/>
          <w:numId w:val="1001"/>
        </w:numPr>
        <w:pStyle w:val="Compact"/>
      </w:pPr>
      <w:r>
        <w:t xml:space="preserve">Assess the correlation between accountant competency levels and business outcomes (e.g., tax efficiency, investment attraction) in Yangon SMEs.</w:t>
      </w:r>
    </w:p>
    <w:p>
      <w:pPr>
        <w:numPr>
          <w:ilvl w:val="0"/>
          <w:numId w:val="1001"/>
        </w:numPr>
        <w:pStyle w:val="Compact"/>
      </w:pPr>
      <w:r>
        <w:t xml:space="preserve">Develop a localized framework for Accountant capacity building aligned with Myanmar Yangon’s economic priorities and MASB standards.</w:t>
      </w:r>
    </w:p>
    <w:bookmarkEnd w:id="23"/>
    <w:bookmarkStart w:id="24" w:name="X44116a4f143ebc69e5b7273d863fdc7ae747ebc"/>
    <w:p>
      <w:pPr>
        <w:pStyle w:val="Heading2"/>
      </w:pPr>
      <w:r>
        <w:t xml:space="preserve">4. Methodology: Contextualized Mixed-Methods Approach (200 words)</w:t>
      </w:r>
    </w:p>
    <w:p>
      <w:pPr>
        <w:pStyle w:val="FirstParagraph"/>
      </w:pPr>
      <w:r>
        <w:t xml:space="preserve">This study employs a mixed-methods design to ensure rich, actionable data specific to Myanmar Yangon:</w:t>
      </w:r>
    </w:p>
    <w:p>
      <w:pPr>
        <w:numPr>
          <w:ilvl w:val="0"/>
          <w:numId w:val="1002"/>
        </w:numPr>
        <w:pStyle w:val="Compact"/>
      </w:pPr>
      <w:r>
        <w:rPr>
          <w:bCs/>
          <w:b/>
        </w:rPr>
        <w:t xml:space="preserve">Phase 1 (Quantitative):</w:t>
      </w:r>
      <w:r>
        <w:t xml:space="preserve"> </w:t>
      </w:r>
      <w:r>
        <w:t xml:space="preserve">A stratified survey of 350 Accountants across Yangon’s key business districts (Sanchaung, Bahan, Mingaladon) using Likert-scale questions on skill confidence, training access, and regulatory challenges. Targeting diverse sectors (manufacturing, retail, services) ensures representation of Yangon's economic spectrum.</w:t>
      </w:r>
    </w:p>
    <w:p>
      <w:pPr>
        <w:numPr>
          <w:ilvl w:val="0"/>
          <w:numId w:val="1002"/>
        </w:numPr>
        <w:pStyle w:val="Compact"/>
      </w:pPr>
      <w:r>
        <w:rPr>
          <w:bCs/>
          <w:b/>
        </w:rPr>
        <w:t xml:space="preserve">Phase 2 (Qualitative):</w:t>
      </w:r>
      <w:r>
        <w:t xml:space="preserve"> </w:t>
      </w:r>
      <w:r>
        <w:t xml:space="preserve">In-depth interviews with 30 senior Accountants and 15 SME owners in Yangon to explore on-ground implementation barriers. Focus groups will be held in Yangon-based hubs like the Myanmar Chamber of Commerce &amp; Industry offices, enabling candid discussions on real-world constraints.</w:t>
      </w:r>
    </w:p>
    <w:p>
      <w:pPr>
        <w:numPr>
          <w:ilvl w:val="0"/>
          <w:numId w:val="1002"/>
        </w:numPr>
        <w:pStyle w:val="Compact"/>
      </w:pPr>
      <w:r>
        <w:rPr>
          <w:bCs/>
          <w:b/>
        </w:rPr>
        <w:t xml:space="preserve">Data Analysis:</w:t>
      </w:r>
      <w:r>
        <w:t xml:space="preserve"> </w:t>
      </w:r>
      <w:r>
        <w:t xml:space="preserve">NVivo for thematic coding of interviews; SPSS for statistical analysis of survey data. Crucially, all instruments will be translated into Burmese and pilot-tested in Yangon to ensure cultural validity. Ethical clearance will be sought from Yangon University’s Institutional Review Board.</w:t>
      </w:r>
    </w:p>
    <w:p>
      <w:pPr>
        <w:pStyle w:val="FirstParagraph"/>
      </w:pPr>
      <w:r>
        <w:t xml:space="preserve">The methodology prioritizes accessibility—interviews conducted in Myanmar's official languages (Burmese/English) during business hours—to maximize participation among Accountants juggling demanding workloads in Yangon’s traffic-congested urban environment.</w:t>
      </w:r>
    </w:p>
    <w:bookmarkEnd w:id="24"/>
    <w:bookmarkStart w:id="25" w:name="Xacf367c01679b05b510284f1fdfbd015d424a35"/>
    <w:p>
      <w:pPr>
        <w:pStyle w:val="Heading2"/>
      </w:pPr>
      <w:r>
        <w:t xml:space="preserve">5. Expected Outcomes and Significance (170 words)</w:t>
      </w:r>
    </w:p>
    <w:p>
      <w:pPr>
        <w:pStyle w:val="FirstParagraph"/>
      </w:pPr>
      <w:r>
        <w:t xml:space="preserve">This Research Proposal anticipates transformative outcomes for Myanmar Yangon’s accounting ecosystem:</w:t>
      </w:r>
    </w:p>
    <w:p>
      <w:pPr>
        <w:numPr>
          <w:ilvl w:val="0"/>
          <w:numId w:val="1003"/>
        </w:numPr>
        <w:pStyle w:val="Compact"/>
      </w:pPr>
      <w:r>
        <w:t xml:space="preserve">A validated competency framework tailored for the Accountant in Myanmar Yangon, addressing digital literacy (e.g., cloud-based systems like QuickBooks), tax law navigation, and cross-cultural communication.</w:t>
      </w:r>
    </w:p>
    <w:p>
      <w:pPr>
        <w:numPr>
          <w:ilvl w:val="0"/>
          <w:numId w:val="1003"/>
        </w:numPr>
        <w:pStyle w:val="Compact"/>
      </w:pPr>
      <w:r>
        <w:t xml:space="preserve">Policy recommendations for MASB to integrate practical scenario-based training into certification requirements, directly enhancing the professional value of the Accountant.</w:t>
      </w:r>
    </w:p>
    <w:p>
      <w:pPr>
        <w:numPr>
          <w:ilvl w:val="0"/>
          <w:numId w:val="1003"/>
        </w:numPr>
        <w:pStyle w:val="Compact"/>
      </w:pPr>
      <w:r>
        <w:t xml:space="preserve">Evidence demonstrating how investing in Accountant development reduces SME operational costs by 25% (projected) through improved financial planning and compliance—critical for Yangon’s post-pandemic recovery.</w:t>
      </w:r>
    </w:p>
    <w:p>
      <w:pPr>
        <w:pStyle w:val="FirstParagraph"/>
      </w:pPr>
      <w:r>
        <w:t xml:space="preserve">The significance extends beyond academia: Results will empower Yangon-based accounting firms to attract foreign clients seeking compliant financial reporting, while positioning the Accountant as a strategic asset rather than a cost center. By focusing squarely on Myanmar Yangon’s ecosystem, this research avoids generic solutions and delivers measurable impact for the city’s economic advancement.</w:t>
      </w:r>
    </w:p>
    <w:bookmarkEnd w:id="25"/>
    <w:bookmarkStart w:id="26" w:name="X4fda24ccf8db32ffc957c7efbeefbcfa417b153"/>
    <w:p>
      <w:pPr>
        <w:pStyle w:val="Heading2"/>
      </w:pPr>
      <w:r>
        <w:t xml:space="preserve">6. Timeline and Resource Allocation (100 words)</w:t>
      </w:r>
    </w:p>
    <w:p>
      <w:pPr>
        <w:pStyle w:val="FirstParagraph"/>
      </w:pPr>
      <w:r>
        <w:t xml:space="preserve">The 10-month project will commence with stakeholder consultations in Yangon (Month 1), followed by data collection (Months 2-5). Analysis and framework development occur in Months 6-8, with final report drafting and policy workshops scheduled for Months 9-10. Key resources include:</w:t>
      </w:r>
    </w:p>
    <w:p>
      <w:pPr>
        <w:numPr>
          <w:ilvl w:val="0"/>
          <w:numId w:val="1004"/>
        </w:numPr>
        <w:pStyle w:val="Compact"/>
      </w:pPr>
      <w:r>
        <w:t xml:space="preserve">Research team: Local field coordinators based in Yangon (ensuring contextual understanding).</w:t>
      </w:r>
    </w:p>
    <w:p>
      <w:pPr>
        <w:numPr>
          <w:ilvl w:val="0"/>
          <w:numId w:val="1004"/>
        </w:numPr>
        <w:pStyle w:val="Compact"/>
      </w:pPr>
      <w:r>
        <w:t xml:space="preserve">Technology: Offline survey tools for areas with poor connectivity in Yangon’s peripheral zones.</w:t>
      </w:r>
    </w:p>
    <w:p>
      <w:pPr>
        <w:numPr>
          <w:ilvl w:val="0"/>
          <w:numId w:val="1004"/>
        </w:numPr>
        <w:pStyle w:val="Compact"/>
      </w:pPr>
      <w:r>
        <w:t xml:space="preserve">Budget allocation prioritizes local partner engagement (e.g., Myanmar Accounting Association) to ensure cultural relevance and uptake of findings.</w:t>
      </w:r>
    </w:p>
    <w:bookmarkEnd w:id="26"/>
    <w:bookmarkStart w:id="27" w:name="conclusion-100-words"/>
    <w:p>
      <w:pPr>
        <w:pStyle w:val="Heading2"/>
      </w:pPr>
      <w:r>
        <w:t xml:space="preserve">7. Conclusion (100 words)</w:t>
      </w:r>
    </w:p>
    <w:p>
      <w:pPr>
        <w:pStyle w:val="FirstParagraph"/>
      </w:pPr>
      <w:r>
        <w:t xml:space="preserve">In Myanmar Yangon, where economic stability hinges on transparent financial management, the professional development of the Accountant is non-negotiable. This Research Proposal directly confronts systemic gaps threatening Yangon’s growth trajectory by centering local realities rather than imported models. The study will equip stakeholders with a roadmap to cultivate Accountants who are not merely compliant but proactive enablers of business resilience and investor trust in Myanmar Yangon. Ultimately, this work asserts that investing in the Accountant—through evidence-based training—is an investment in the city’s future as a competitive Southeast Asian hub. The findings will be disseminated through Yangon-focused workshops, policy briefs for MASB, and peer-reviewed publications targeting regional accounting academia.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Accountant Professional Development in Myanmar Yangon</dc:title>
  <dc:creator/>
  <dc:language>en</dc:language>
  <cp:keywords/>
  <dcterms:created xsi:type="dcterms:W3CDTF">2025-12-10T05:39:13Z</dcterms:created>
  <dcterms:modified xsi:type="dcterms:W3CDTF">2025-12-10T05:39:13Z</dcterms:modified>
</cp:coreProperties>
</file>

<file path=docProps/custom.xml><?xml version="1.0" encoding="utf-8"?>
<Properties xmlns="http://schemas.openxmlformats.org/officeDocument/2006/custom-properties" xmlns:vt="http://schemas.openxmlformats.org/officeDocument/2006/docPropsVTypes"/>
</file>