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Netherlands</w:t>
      </w:r>
      <w:r>
        <w:t xml:space="preserve"> </w:t>
      </w:r>
      <w:r>
        <w:t xml:space="preserve">Amsterdam</w:t>
      </w:r>
    </w:p>
    <w:bookmarkStart w:id="29" w:name="Xc3ce833b9eb820a7e708253e59367d9b968d52b"/>
    <w:p>
      <w:pPr>
        <w:pStyle w:val="Heading1"/>
      </w:pPr>
      <w:r>
        <w:t xml:space="preserve">Research Proposal: The Transformative Landscape of Accountants in the Netherlands Amsterdam Context</w:t>
      </w:r>
    </w:p>
    <w:bookmarkStart w:id="20" w:name="abstract"/>
    <w:p>
      <w:pPr>
        <w:pStyle w:val="Heading2"/>
      </w:pPr>
      <w:r>
        <w:t xml:space="preserve">Abstract</w:t>
      </w:r>
    </w:p>
    <w:p>
      <w:pPr>
        <w:pStyle w:val="FirstParagraph"/>
      </w:pPr>
      <w:r>
        <w:t xml:space="preserve">This research proposal investigates the evolving professional identity, operational challenges, and strategic opportunities facing accountants within the unique economic and regulatory environment of Amsterdam, Netherlands. As a global financial hub serving as the European headquarters for numerous multinational corporations and a major center for international trade, Amsterdam presents a critical case study for understanding how modern accounting practices adapt to complex EU regulations, digital transformation demands, and sustainability imperatives. This study aims to generate actionable insights specifically tailored to accountants operating in the Netherlands Amsterdam ecosystem.</w:t>
      </w:r>
    </w:p>
    <w:bookmarkEnd w:id="20"/>
    <w:bookmarkStart w:id="21" w:name="X5c8c6563359bbc06665d9ebfd73e24b41ae7dde"/>
    <w:p>
      <w:pPr>
        <w:pStyle w:val="Heading2"/>
      </w:pPr>
      <w:r>
        <w:t xml:space="preserve">1. Introduction: The Strategic Importance of Accountants in Netherlands Amsterdam</w:t>
      </w:r>
    </w:p>
    <w:p>
      <w:pPr>
        <w:pStyle w:val="FirstParagraph"/>
      </w:pPr>
      <w:r>
        <w:t xml:space="preserve">Amsterdam stands as the vibrant economic heart of the Netherlands, consistently ranked among Europe's top 5 financial centers and housing the headquarters of major Dutch banks (Rabobank, ING), global logistics leaders (A.P. Moller - Maersk), and countless multinational corporations utilizing the Netherlands as a strategic European gateway. In this dynamic environment, the role of the</w:t>
      </w:r>
      <w:r>
        <w:t xml:space="preserve"> </w:t>
      </w:r>
      <w:r>
        <w:rPr>
          <w:bCs/>
          <w:b/>
        </w:rPr>
        <w:t xml:space="preserve">Accountant</w:t>
      </w:r>
      <w:r>
        <w:t xml:space="preserve"> </w:t>
      </w:r>
      <w:r>
        <w:t xml:space="preserve">transcends traditional bookkeeping; they are pivotal advisors navigating intricate Dutch tax law (including the Corporate Income Tax Act, VAT regulations), EU directives (like DAC7 and MiFID II), and increasingly, sustainability reporting frameworks (ESRS). The Netherlands' position as a global business hub makes understanding the</w:t>
      </w:r>
      <w:r>
        <w:t xml:space="preserve"> </w:t>
      </w:r>
      <w:r>
        <w:rPr>
          <w:bCs/>
          <w:b/>
        </w:rPr>
        <w:t xml:space="preserve">Accountant</w:t>
      </w:r>
      <w:r>
        <w:t xml:space="preserve">'s evolving function within</w:t>
      </w:r>
      <w:r>
        <w:t xml:space="preserve"> </w:t>
      </w:r>
      <w:r>
        <w:rPr>
          <w:bCs/>
          <w:b/>
        </w:rPr>
        <w:t xml:space="preserve">Netherlands Amsterdam</w:t>
      </w:r>
      <w:r>
        <w:t xml:space="preserve"> </w:t>
      </w:r>
      <w:r>
        <w:t xml:space="preserve">not just academically interesting but economically critical for policymakers, professional bodies (such as the Nederlandse Vereniging van Accountants - NVA), and businesses themselves. This research directly addresses the urgent need to map these changes specifically within the Amsterdam context.</w:t>
      </w:r>
    </w:p>
    <w:bookmarkEnd w:id="21"/>
    <w:bookmarkStart w:id="22" w:name="problem-statement"/>
    <w:p>
      <w:pPr>
        <w:pStyle w:val="Heading2"/>
      </w:pPr>
      <w:r>
        <w:t xml:space="preserve">2. Problem Statement</w:t>
      </w:r>
    </w:p>
    <w:p>
      <w:pPr>
        <w:pStyle w:val="FirstParagraph"/>
      </w:pPr>
      <w:r>
        <w:t xml:space="preserve">While global accounting trends are well-documented, significant gaps exist in understanding their *localized* impact on professionals operating within the distinct regulatory, cultural, and economic milieu of Amsterdam. Accountants in</w:t>
      </w:r>
      <w:r>
        <w:t xml:space="preserve"> </w:t>
      </w:r>
      <w:r>
        <w:rPr>
          <w:bCs/>
          <w:b/>
        </w:rPr>
        <w:t xml:space="preserve">Netherlands Amsterdam</w:t>
      </w:r>
      <w:r>
        <w:t xml:space="preserve"> </w:t>
      </w:r>
      <w:r>
        <w:t xml:space="preserve">face a confluence of unique pressures: navigating the highly complex Dutch tax system (one of the most sophisticated in Europe), integrating advanced digital accounting platforms (like Xero and Sage) with local compliance requirements, adapting to mandatory ESG reporting under Dutch law and EU directives, and serving a client base heavily composed of international entities subject to cross-border tax rules. Furthermore, Amsterdam's significant startup ecosystem creates demand for specialized accounting services not always addressed in broader studies. This research identifies a critical need to move beyond generic European or global analyses and uncover the specific challenges, skill requirements, technological adoption hurdles, and strategic value propositions experienced daily by</w:t>
      </w:r>
      <w:r>
        <w:t xml:space="preserve"> </w:t>
      </w:r>
      <w:r>
        <w:rPr>
          <w:bCs/>
          <w:b/>
        </w:rPr>
        <w:t xml:space="preserve">Accountant</w:t>
      </w:r>
      <w:r>
        <w:t xml:space="preserve">s working on the ground in</w:t>
      </w:r>
      <w:r>
        <w:t xml:space="preserve"> </w:t>
      </w:r>
      <w:r>
        <w:rPr>
          <w:bCs/>
          <w:b/>
        </w:rPr>
        <w:t xml:space="preserve">Netherlands Amsterdam</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Netherlands Amsterdam framework:</w:t>
      </w:r>
    </w:p>
    <w:p>
      <w:pPr>
        <w:numPr>
          <w:ilvl w:val="0"/>
          <w:numId w:val="1001"/>
        </w:numPr>
        <w:pStyle w:val="Compact"/>
      </w:pPr>
      <w:r>
        <w:t xml:space="preserve">To map the current core competencies, technological tools (e.g., AI-driven analytics, blockchain for audit trails), and regulatory knowledge required of accountants operating in Amsterdam's business environment.</w:t>
      </w:r>
    </w:p>
    <w:p>
      <w:pPr>
        <w:numPr>
          <w:ilvl w:val="0"/>
          <w:numId w:val="1001"/>
        </w:numPr>
        <w:pStyle w:val="Compact"/>
      </w:pPr>
      <w:r>
        <w:t xml:space="preserve">To identify and analyze the most significant operational challenges faced by accountants serving Dutch SMEs and international entities based in Amsterdam (including VAT complexity, cross-border tax coordination, ESG reporting burdens).</w:t>
      </w:r>
    </w:p>
    <w:p>
      <w:pPr>
        <w:numPr>
          <w:ilvl w:val="0"/>
          <w:numId w:val="1001"/>
        </w:numPr>
        <w:pStyle w:val="Compact"/>
      </w:pPr>
      <w:r>
        <w:t xml:space="preserve">To assess how digital transformation (cloud accounting, automation) is reshaping the day-to-day tasks and strategic roles of accountants within Amsterdam-based firms.</w:t>
      </w:r>
    </w:p>
    <w:p>
      <w:pPr>
        <w:numPr>
          <w:ilvl w:val="0"/>
          <w:numId w:val="1001"/>
        </w:numPr>
        <w:pStyle w:val="Compact"/>
      </w:pPr>
      <w:r>
        <w:t xml:space="preserve">To evaluate the perceived value and future demand for specialized accounting services (e.g., international tax planning, sustainability assurance) within the Netherlands Amsterdam market.</w:t>
      </w:r>
    </w:p>
    <w:p>
      <w:pPr>
        <w:numPr>
          <w:ilvl w:val="0"/>
          <w:numId w:val="1001"/>
        </w:numPr>
        <w:pStyle w:val="Compact"/>
      </w:pPr>
      <w:r>
        <w:t xml:space="preserve">To develop evidence-based recommendations for professional development, firm strategy, and potential policy adjustments to support accountants in optimizing their contribution within the Dutch capital's economy.</w:t>
      </w:r>
    </w:p>
    <w:bookmarkEnd w:id="23"/>
    <w:bookmarkStart w:id="24" w:name="X88a276d5967c354ff9d4605bc4190bbf2f33095"/>
    <w:p>
      <w:pPr>
        <w:pStyle w:val="Heading2"/>
      </w:pPr>
      <w:r>
        <w:t xml:space="preserve">4. Literature Review (Contextualizing the Netherlands Amsterdam Focus)</w:t>
      </w:r>
    </w:p>
    <w:p>
      <w:pPr>
        <w:pStyle w:val="FirstParagraph"/>
      </w:pPr>
      <w:r>
        <w:t xml:space="preserve">Existing literature broadly covers accounting trends (digitalization, ESG) but often lacks granularity for specific national/regional contexts like the Netherlands. Studies by the Dutch Association of Accountants (NVA) and academic work from institutions like Erasmus University Rotterdam provide valuable Dutch insights. However, research specifically focused *exclusively* on the operational realities within Amsterdam's unique ecosystem – its density of international firms, proximity to EU institutions in Brussels, and distinct local business culture – is scarce. This gap necessitates a targeted study grounded in the Amsterdam experience. Key areas for review include: Dutch tax law evolution (e.g., changes to dividend taxation), impact of the European Single Market on accounting practices for Amsterdam-based multinationals, and the Netherlands' early adoption of sustainability reporting standards within its corporate landscape.</w:t>
      </w:r>
    </w:p>
    <w:bookmarkEnd w:id="24"/>
    <w:bookmarkStart w:id="25" w:name="methodology"/>
    <w:p>
      <w:pPr>
        <w:pStyle w:val="Heading2"/>
      </w:pPr>
      <w:r>
        <w:t xml:space="preserve">5. Methodology</w:t>
      </w:r>
    </w:p>
    <w:p>
      <w:pPr>
        <w:pStyle w:val="FirstParagraph"/>
      </w:pPr>
      <w:r>
        <w:t xml:space="preserve">This mixed-methods study will employ a pragmatic approach designed for contextual relevance in</w:t>
      </w:r>
      <w:r>
        <w:t xml:space="preserve"> </w:t>
      </w:r>
      <w:r>
        <w:rPr>
          <w:bCs/>
          <w:b/>
        </w:rPr>
        <w:t xml:space="preserve">Netherlands Amsterdam</w:t>
      </w:r>
      <w:r>
        <w:t xml:space="preserve">:</w:t>
      </w:r>
    </w:p>
    <w:p>
      <w:pPr>
        <w:numPr>
          <w:ilvl w:val="0"/>
          <w:numId w:val="1002"/>
        </w:numPr>
        <w:pStyle w:val="Compact"/>
      </w:pPr>
      <w:r>
        <w:rPr>
          <w:bCs/>
          <w:b/>
        </w:rPr>
        <w:t xml:space="preserve">Quantitative Survey:</w:t>
      </w:r>
      <w:r>
        <w:t xml:space="preserve"> </w:t>
      </w:r>
      <w:r>
        <w:t xml:space="preserve">An online survey distributed to 300+ members of the NVA (Nederlandse Vereniging van Accountants) and certified accountants registered with the Chamber of Commerce (KVK) in Amsterdam. Questions will focus on technology adoption, perceived challenges, required skills, and strategic role perception.</w:t>
      </w:r>
    </w:p>
    <w:p>
      <w:pPr>
        <w:numPr>
          <w:ilvl w:val="0"/>
          <w:numId w:val="1002"/>
        </w:numPr>
        <w:pStyle w:val="Compact"/>
      </w:pPr>
      <w:r>
        <w:rPr>
          <w:bCs/>
          <w:b/>
        </w:rPr>
        <w:t xml:space="preserve">Qualitative Interviews:</w:t>
      </w:r>
      <w:r>
        <w:t xml:space="preserve"> </w:t>
      </w:r>
      <w:r>
        <w:t xml:space="preserve">In-depth semi-structured interviews with 25-30 diverse professionals: senior partners from major Amsterdam accounting firms (PwC Netherlands, Deloitte Amsterdam), in-house accountants at prominent Amsterdammers (e.g., ASML, Heineken International), and leaders of local accounting associations. Focus will be on lived experience navigating the specific Amsterdam market.</w:t>
      </w:r>
    </w:p>
    <w:p>
      <w:pPr>
        <w:numPr>
          <w:ilvl w:val="0"/>
          <w:numId w:val="1002"/>
        </w:numPr>
        <w:pStyle w:val="Compact"/>
      </w:pPr>
      <w:r>
        <w:rPr>
          <w:bCs/>
          <w:b/>
        </w:rPr>
        <w:t xml:space="preserve">Document Analysis:</w:t>
      </w:r>
      <w:r>
        <w:t xml:space="preserve"> </w:t>
      </w:r>
      <w:r>
        <w:t xml:space="preserve">Review of key Dutch legislation (Taxation Act, Corporate Governance Code), NVA guidelines, and reports from the Dutch Central Bank (De Nederlandsche Bank - DNB) concerning financial reporting trends in Amsterdam.</w:t>
      </w:r>
    </w:p>
    <w:p>
      <w:pPr>
        <w:pStyle w:val="FirstParagraph"/>
      </w:pPr>
      <w:r>
        <w:t xml:space="preserve">Data analysis will involve thematic coding for qualitative data and statistical analysis for survey responses. Ethical approval will be sought from the relevant University of Amsterdam research ethics board.</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several significant contributions:</w:t>
      </w:r>
    </w:p>
    <w:p>
      <w:pPr>
        <w:numPr>
          <w:ilvl w:val="0"/>
          <w:numId w:val="1003"/>
        </w:numPr>
        <w:pStyle w:val="Compact"/>
      </w:pPr>
      <w:r>
        <w:t xml:space="preserve">A detailed, evidence-based profile of the modern accountant's role within Amsterdam, moving beyond theoretical frameworks to ground-level reality.</w:t>
      </w:r>
    </w:p>
    <w:p>
      <w:pPr>
        <w:numPr>
          <w:ilvl w:val="0"/>
          <w:numId w:val="1003"/>
        </w:numPr>
        <w:pStyle w:val="Compact"/>
      </w:pPr>
      <w:r>
        <w:t xml:space="preserve">Identification of specific skill gaps (e.g., in ESG assurance or cross-border digital tax compliance) requiring targeted professional development initiatives by the NVA and educational institutions in</w:t>
      </w:r>
      <w:r>
        <w:t xml:space="preserve"> </w:t>
      </w:r>
      <w:r>
        <w:rPr>
          <w:bCs/>
          <w:b/>
        </w:rPr>
        <w:t xml:space="preserve">Netherlands Amsterdam</w:t>
      </w:r>
      <w:r>
        <w:t xml:space="preserve">.</w:t>
      </w:r>
    </w:p>
    <w:p>
      <w:pPr>
        <w:numPr>
          <w:ilvl w:val="0"/>
          <w:numId w:val="1003"/>
        </w:numPr>
        <w:pStyle w:val="Compact"/>
      </w:pPr>
      <w:r>
        <w:t xml:space="preserve">Actionable insights for accounting firms on adapting service offerings to meet the nuanced demands of their Amsterdam client base.</w:t>
      </w:r>
    </w:p>
    <w:p>
      <w:pPr>
        <w:numPr>
          <w:ilvl w:val="0"/>
          <w:numId w:val="1003"/>
        </w:numPr>
        <w:pStyle w:val="Compact"/>
      </w:pPr>
      <w:r>
        <w:t xml:space="preserve">Recommendations for policymakers (e.g., at the Dutch Ministry of Finance) regarding regulatory clarity or support mechanisms to foster accountant effectiveness within a critical economic center.</w:t>
      </w:r>
    </w:p>
    <w:p>
      <w:pPr>
        <w:numPr>
          <w:ilvl w:val="0"/>
          <w:numId w:val="1003"/>
        </w:numPr>
        <w:pStyle w:val="Compact"/>
      </w:pPr>
      <w:r>
        <w:t xml:space="preserve">A foundational dataset specifically for Amsterdam, filling a critical void in understanding accounting practice at the epicenter of Dutch and European finance.</w:t>
      </w:r>
    </w:p>
    <w:bookmarkEnd w:id="26"/>
    <w:bookmarkStart w:id="27" w:name="conclusion"/>
    <w:p>
      <w:pPr>
        <w:pStyle w:val="Heading2"/>
      </w:pPr>
      <w:r>
        <w:t xml:space="preserve">7. Conclusion</w:t>
      </w:r>
    </w:p>
    <w:p>
      <w:pPr>
        <w:pStyle w:val="FirstParagraph"/>
      </w:pPr>
      <w:r>
        <w:t xml:space="preserve">The future of the accounting profession in the Netherlands hinges significantly on its ability to adapt within key urban centers like Amsterdam. As the economic engine of the country, Amsterdam demands accountants who are not only technically proficient in complex Dutch and EU regulations but also strategically agile, digitally literate, and capable of navigating sustainability imperatives. This</w:t>
      </w:r>
      <w:r>
        <w:t xml:space="preserve"> </w:t>
      </w:r>
      <w:r>
        <w:rPr>
          <w:bCs/>
          <w:b/>
        </w:rPr>
        <w:t xml:space="preserve">Research Proposal</w:t>
      </w:r>
      <w:r>
        <w:t xml:space="preserve"> </w:t>
      </w:r>
      <w:r>
        <w:t xml:space="preserve">outlines a vital study designed to illuminate the specific challenges and opportunities confronting the</w:t>
      </w:r>
      <w:r>
        <w:t xml:space="preserve"> </w:t>
      </w:r>
      <w:r>
        <w:rPr>
          <w:bCs/>
          <w:b/>
        </w:rPr>
        <w:t xml:space="preserve">Accountant</w:t>
      </w:r>
      <w:r>
        <w:t xml:space="preserve"> </w:t>
      </w:r>
      <w:r>
        <w:t xml:space="preserve">within the unique tapestry of business, regulation, and innovation that defines</w:t>
      </w:r>
      <w:r>
        <w:t xml:space="preserve"> </w:t>
      </w:r>
      <w:r>
        <w:rPr>
          <w:bCs/>
          <w:b/>
        </w:rPr>
        <w:t xml:space="preserve">Netherlands Amsterdam</w:t>
      </w:r>
      <w:r>
        <w:t xml:space="preserve">. The findings will be crucial for empowering accountants to fulfill their essential role as trusted advisors in driving sustainable economic growth for one of Europe's most dynamic financial capitals. Understanding this evolution is not merely academic; it is fundamental to the continued success of the Dutch economy and its position on the global stage.</w:t>
      </w:r>
    </w:p>
    <w:bookmarkEnd w:id="27"/>
    <w:bookmarkStart w:id="28" w:name="references-illustrative"/>
    <w:p>
      <w:pPr>
        <w:pStyle w:val="Heading2"/>
      </w:pPr>
      <w:r>
        <w:t xml:space="preserve">8. References (Illustrative)</w:t>
      </w:r>
    </w:p>
    <w:p>
      <w:pPr>
        <w:numPr>
          <w:ilvl w:val="0"/>
          <w:numId w:val="1004"/>
        </w:numPr>
        <w:pStyle w:val="Compact"/>
      </w:pPr>
      <w:r>
        <w:t xml:space="preserve">Dutch Ministry of Finance. (2023). *Taxation Act 1964* (Wet op de inkomstenbelasting 1964).</w:t>
      </w:r>
    </w:p>
    <w:p>
      <w:pPr>
        <w:numPr>
          <w:ilvl w:val="0"/>
          <w:numId w:val="1004"/>
        </w:numPr>
        <w:pStyle w:val="Compact"/>
      </w:pPr>
      <w:r>
        <w:t xml:space="preserve">Nederlandse Vereniging van Accountants (NVA). (2023). *Professional Guidelines for Accountants in the Netherlands.</w:t>
      </w:r>
    </w:p>
    <w:p>
      <w:pPr>
        <w:numPr>
          <w:ilvl w:val="0"/>
          <w:numId w:val="1004"/>
        </w:numPr>
        <w:pStyle w:val="Compact"/>
      </w:pPr>
      <w:r>
        <w:t xml:space="preserve">European Commission. (2023). *Corporate Sustainability Reporting Directive (CSRD) - Final Text.</w:t>
      </w:r>
    </w:p>
    <w:p>
      <w:pPr>
        <w:numPr>
          <w:ilvl w:val="0"/>
          <w:numId w:val="1004"/>
        </w:numPr>
        <w:pStyle w:val="Compact"/>
      </w:pPr>
      <w:r>
        <w:t xml:space="preserve">KPMG Netherlands. (2024). *Accounting Trends and Issues Report: Focus on Amsterdam Market Dynamics.</w:t>
      </w:r>
    </w:p>
    <w:p>
      <w:pPr>
        <w:numPr>
          <w:ilvl w:val="0"/>
          <w:numId w:val="1004"/>
        </w:numPr>
        <w:pStyle w:val="Compact"/>
      </w:pPr>
      <w:r>
        <w:t xml:space="preserve">Van der Velden, J., &amp; Vermeer, H. (2023). The Digital Transformation of Accounting in the Dutch Context. *Journal of International Accounting Research*,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Accountants in Netherlands Amsterdam</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