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f62497fa5c7bbbcf7653aff6dc62d972f97f064"/>
    <w:p>
      <w:pPr>
        <w:pStyle w:val="Heading1"/>
      </w:pPr>
      <w:r>
        <w:t xml:space="preserve">Research Proposal: The Evolving Role of Accountant in New Zealand Auckland</w:t>
      </w:r>
    </w:p>
    <w:bookmarkStart w:id="20" w:name="introduction-and-background"/>
    <w:p>
      <w:pPr>
        <w:pStyle w:val="Heading2"/>
      </w:pPr>
      <w:r>
        <w:t xml:space="preserve">1. Introduction and Background</w:t>
      </w:r>
    </w:p>
    <w:p>
      <w:pPr>
        <w:pStyle w:val="FirstParagraph"/>
      </w:pPr>
      <w:r>
        <w:t xml:space="preserve">The financial landscape of New Zealand Auckland presents unique opportunities and challenges for the profession of Accountant. As the largest city in New Zealand and a major economic hub, Auckland's business ecosystem demands sophisticated accounting expertise to navigate complex regulations, international trade dynamics, and emerging sustainability frameworks. This</w:t>
      </w:r>
      <w:r>
        <w:t xml:space="preserve"> </w:t>
      </w:r>
      <w:r>
        <w:rPr>
          <w:bCs/>
          <w:b/>
        </w:rPr>
        <w:t xml:space="preserve">Research Proposal</w:t>
      </w:r>
      <w:r>
        <w:t xml:space="preserve"> </w:t>
      </w:r>
      <w:r>
        <w:t xml:space="preserve">addresses the critical need to understand how modern</w:t>
      </w:r>
      <w:r>
        <w:t xml:space="preserve"> </w:t>
      </w:r>
      <w:r>
        <w:rPr>
          <w:bCs/>
          <w:b/>
        </w:rPr>
        <w:t xml:space="preserve">Accountant</w:t>
      </w:r>
      <w:r>
        <w:t xml:space="preserve"> </w:t>
      </w:r>
      <w:r>
        <w:t xml:space="preserve">roles are transforming within the specific context of</w:t>
      </w:r>
      <w:r>
        <w:t xml:space="preserve"> </w:t>
      </w:r>
      <w:r>
        <w:rPr>
          <w:bCs/>
          <w:b/>
        </w:rPr>
        <w:t xml:space="preserve">New Zealand Auckland</w:t>
      </w:r>
      <w:r>
        <w:t xml:space="preserve">, moving beyond traditional bookkeeping to strategic advisory functions. With Auckland contributing over 35% of New Zealand's GDP and hosting multinational headquarters, the role of a contemporary accountant has evolved into a pivotal driver of business resilience and growth.</w:t>
      </w:r>
    </w:p>
    <w:bookmarkEnd w:id="20"/>
    <w:bookmarkStart w:id="21" w:name="problem-statement"/>
    <w:p>
      <w:pPr>
        <w:pStyle w:val="Heading2"/>
      </w:pPr>
      <w:r>
        <w:t xml:space="preserve">2. Problem Statement</w:t>
      </w:r>
    </w:p>
    <w:p>
      <w:pPr>
        <w:pStyle w:val="FirstParagraph"/>
      </w:pPr>
      <w:r>
        <w:t xml:space="preserve">Despite Auckland's economic significance, there is limited localized research examining how regulatory shifts (such as the 2018 Companies Act amendments), digital transformation (AI-driven accounting tools), and sustainability reporting requirements impact the daily practice of an Accountant in this specific metropolitan environment. Many accounting firms and businesses in</w:t>
      </w:r>
      <w:r>
        <w:t xml:space="preserve"> </w:t>
      </w:r>
      <w:r>
        <w:rPr>
          <w:bCs/>
          <w:b/>
        </w:rPr>
        <w:t xml:space="preserve">New Zealand Auckland</w:t>
      </w:r>
      <w:r>
        <w:t xml:space="preserve"> </w:t>
      </w:r>
      <w:r>
        <w:t xml:space="preserve">report skill gaps between traditional training and emerging demands, leading to inefficiencies in compliance, strategic planning, and client service. Without targeted research into these dynamics, the profession risks becoming misaligned with Auckland's rapidly evolving business needs—particularly as the city experiences record migration rates and diversifies its economic base beyond tourism into fintech, renewable energy, and advanced manufacturing.</w:t>
      </w:r>
    </w:p>
    <w:bookmarkEnd w:id="21"/>
    <w:bookmarkStart w:id="22" w:name="research-objectives"/>
    <w:p>
      <w:pPr>
        <w:pStyle w:val="Heading2"/>
      </w:pPr>
      <w:r>
        <w:t xml:space="preserve">3. Research Objectives</w:t>
      </w:r>
    </w:p>
    <w:p>
      <w:pPr>
        <w:pStyle w:val="FirstParagraph"/>
      </w:pPr>
      <w:r>
        <w:t xml:space="preserve">This study aims to achieve three primary objectives within the</w:t>
      </w:r>
      <w:r>
        <w:t xml:space="preserve"> </w:t>
      </w:r>
      <w:r>
        <w:rPr>
          <w:bCs/>
          <w:b/>
        </w:rPr>
        <w:t xml:space="preserve">New Zealand Auckland</w:t>
      </w:r>
      <w:r>
        <w:t xml:space="preserve"> </w:t>
      </w:r>
      <w:r>
        <w:t xml:space="preserve">context:</w:t>
      </w:r>
    </w:p>
    <w:p>
      <w:pPr>
        <w:numPr>
          <w:ilvl w:val="0"/>
          <w:numId w:val="1001"/>
        </w:numPr>
        <w:pStyle w:val="Compact"/>
      </w:pPr>
      <w:r>
        <w:t xml:space="preserve">To analyze how regulatory changes (e.g., ATO compliance, IRD updates) specifically affect the operational workflows of an Accountant in Auckland businesses.</w:t>
      </w:r>
    </w:p>
    <w:p>
      <w:pPr>
        <w:numPr>
          <w:ilvl w:val="0"/>
          <w:numId w:val="1001"/>
        </w:numPr>
        <w:pStyle w:val="Compact"/>
      </w:pPr>
      <w:r>
        <w:t xml:space="preserve">To identify critical skill gaps between current accounting education and practical requirements for an Accountant serving Auckland's diverse SME sector and multinational subsidiaries.</w:t>
      </w:r>
    </w:p>
    <w:p>
      <w:pPr>
        <w:numPr>
          <w:ilvl w:val="0"/>
          <w:numId w:val="1001"/>
        </w:numPr>
        <w:pStyle w:val="Compact"/>
      </w:pPr>
      <w:r>
        <w:t xml:space="preserve">To develop a framework for future-ready accounting practice that integrates ESG (Environmental, Social, Governance) reporting—becoming increasingly mandatory in</w:t>
      </w:r>
      <w:r>
        <w:t xml:space="preserve"> </w:t>
      </w:r>
      <w:r>
        <w:rPr>
          <w:bCs/>
          <w:b/>
        </w:rPr>
        <w:t xml:space="preserve">New Zealand Auckland</w:t>
      </w:r>
      <w:r>
        <w:t xml:space="preserve"> </w:t>
      </w:r>
      <w:r>
        <w:t xml:space="preserve">under the new Climate Change Response (Emissions Trading) Amendment Act 2021.</w:t>
      </w:r>
    </w:p>
    <w:bookmarkEnd w:id="22"/>
    <w:bookmarkStart w:id="23" w:name="X0e8b42136b45b2459b72d0bba6efbe72c847150"/>
    <w:p>
      <w:pPr>
        <w:pStyle w:val="Heading2"/>
      </w:pPr>
      <w:r>
        <w:t xml:space="preserve">4. Literature Review: Contextualizing the Accountant in Auckland</w:t>
      </w:r>
    </w:p>
    <w:p>
      <w:pPr>
        <w:pStyle w:val="FirstParagraph"/>
      </w:pPr>
      <w:r>
        <w:t xml:space="preserve">Existing literature focuses broadly on accounting practices across New Zealand but lacks Auckland-specific granularity. Studies by the Institute of Chartered Accountants of New Zealand (ICANZ) highlight national trends like 68% of accountants adopting AI tools since 2020, yet fail to quantify how these tools are implemented in Auckland's high-density business environment. Meanwhile, a 2023 University of Auckland Business School report noted that 54% of local accountants felt unprepared for the dual demands of digitalization and mandatory sustainability disclosures—exacerbated by Auckland's unique position as a global port city with complex supply chain accounting needs. This gap underscores the urgency for this</w:t>
      </w:r>
      <w:r>
        <w:t xml:space="preserve"> </w:t>
      </w:r>
      <w:r>
        <w:rPr>
          <w:bCs/>
          <w:b/>
        </w:rPr>
        <w:t xml:space="preserve">Research Proposal</w:t>
      </w:r>
      <w:r>
        <w:t xml:space="preserve"> </w:t>
      </w:r>
      <w:r>
        <w:t xml:space="preserve">to center on</w:t>
      </w:r>
      <w:r>
        <w:t xml:space="preserve"> </w:t>
      </w:r>
      <w:r>
        <w:rPr>
          <w:bCs/>
          <w:b/>
        </w:rPr>
        <w:t xml:space="preserve">New Zealand Auckland</w:t>
      </w:r>
      <w:r>
        <w:t xml:space="preserve">, where 73% of New Zealand’s top 100 companies maintain operational headquarters (Statistics NZ, 2023).</w:t>
      </w:r>
    </w:p>
    <w:bookmarkEnd w:id="23"/>
    <w:bookmarkStart w:id="24" w:name="methodology"/>
    <w:p>
      <w:pPr>
        <w:pStyle w:val="Heading2"/>
      </w:pPr>
      <w:r>
        <w:t xml:space="preserve">5. Methodology</w:t>
      </w:r>
    </w:p>
    <w:p>
      <w:pPr>
        <w:pStyle w:val="FirstParagraph"/>
      </w:pPr>
      <w:r>
        <w:t xml:space="preserve">This mixed-methods study will employ a triangulated approach:</w:t>
      </w:r>
    </w:p>
    <w:p>
      <w:pPr>
        <w:numPr>
          <w:ilvl w:val="0"/>
          <w:numId w:val="1002"/>
        </w:numPr>
        <w:pStyle w:val="Compact"/>
      </w:pPr>
      <w:r>
        <w:rPr>
          <w:bCs/>
          <w:b/>
        </w:rPr>
        <w:t xml:space="preserve">Phase 1: Quantitative Survey</w:t>
      </w:r>
      <w:r>
        <w:t xml:space="preserve"> </w:t>
      </w:r>
      <w:r>
        <w:t xml:space="preserve">– Distributed to 300+ certified Accountant practitioners across Auckland (via ICANZ and CPA Australia databases), measuring workflow efficiency, technology adoption rates, and perceived skill gaps. Target response rate: 65%.</w:t>
      </w:r>
    </w:p>
    <w:p>
      <w:pPr>
        <w:numPr>
          <w:ilvl w:val="0"/>
          <w:numId w:val="1002"/>
        </w:numPr>
        <w:pStyle w:val="Compact"/>
      </w:pPr>
      <w:r>
        <w:rPr>
          <w:bCs/>
          <w:b/>
        </w:rPr>
        <w:t xml:space="preserve">Phase 2: Qualitative Case Studies</w:t>
      </w:r>
      <w:r>
        <w:t xml:space="preserve"> </w:t>
      </w:r>
      <w:r>
        <w:t xml:space="preserve">– In-depth interviews with 15 senior Accountant leaders from diverse sectors (e.g., tourism, property development, tech startups) in</w:t>
      </w:r>
      <w:r>
        <w:t xml:space="preserve"> </w:t>
      </w:r>
      <w:r>
        <w:rPr>
          <w:bCs/>
          <w:b/>
        </w:rPr>
        <w:t xml:space="preserve">New Zealand Auckland</w:t>
      </w:r>
      <w:r>
        <w:t xml:space="preserve">, exploring strategic adaptation to local market pressures.</w:t>
      </w:r>
    </w:p>
    <w:p>
      <w:pPr>
        <w:numPr>
          <w:ilvl w:val="0"/>
          <w:numId w:val="1002"/>
        </w:numPr>
        <w:pStyle w:val="Compact"/>
      </w:pPr>
      <w:r>
        <w:rPr>
          <w:bCs/>
          <w:b/>
        </w:rPr>
        <w:t xml:space="preserve">Phase 3: Regulatory Analysis</w:t>
      </w:r>
      <w:r>
        <w:t xml:space="preserve"> </w:t>
      </w:r>
      <w:r>
        <w:t xml:space="preserve">– Comparative assessment of Auckland-specific compliance challenges against national benchmarks using IRD and ACC data sets.</w:t>
      </w:r>
    </w:p>
    <w:p>
      <w:pPr>
        <w:pStyle w:val="FirstParagraph"/>
      </w:pPr>
      <w:r>
        <w:t xml:space="preserve">Data will be analyzed via NVivo (qualitative) and SPSS (quantitative), with ethical approval secured from the University of Auckland Human Ethics Committee. The research design explicitly centers on</w:t>
      </w:r>
      <w:r>
        <w:t xml:space="preserve"> </w:t>
      </w:r>
      <w:r>
        <w:rPr>
          <w:bCs/>
          <w:b/>
        </w:rPr>
        <w:t xml:space="preserve">New Zealand Auckland</w:t>
      </w:r>
      <w:r>
        <w:t xml:space="preserve"> </w:t>
      </w:r>
      <w:r>
        <w:t xml:space="preserve">by prioritizing geographic sampling within the city’s 15 districts, including high-growth areas like Tāmaki Makaurau (Auckland CBD) and Manukau.</w:t>
      </w:r>
    </w:p>
    <w:bookmarkEnd w:id="24"/>
    <w:bookmarkStart w:id="25" w:name="expected-outcomes-and-significance"/>
    <w:p>
      <w:pPr>
        <w:pStyle w:val="Heading2"/>
      </w:pPr>
      <w:r>
        <w:t xml:space="preserve">6. Expected Outcomes and Significance</w:t>
      </w:r>
    </w:p>
    <w:p>
      <w:pPr>
        <w:pStyle w:val="FirstParagraph"/>
      </w:pPr>
      <w:r>
        <w:t xml:space="preserve">This research will deliver a comprehensive blueprint for modernizing the Accountant role in</w:t>
      </w:r>
      <w:r>
        <w:t xml:space="preserve"> </w:t>
      </w:r>
      <w:r>
        <w:rPr>
          <w:bCs/>
          <w:b/>
        </w:rPr>
        <w:t xml:space="preserve">New Zealand Auckland</w:t>
      </w:r>
      <w:r>
        <w:t xml:space="preserve">. Key outputs include:</w:t>
      </w:r>
    </w:p>
    <w:p>
      <w:pPr>
        <w:numPr>
          <w:ilvl w:val="0"/>
          <w:numId w:val="1003"/>
        </w:numPr>
        <w:pStyle w:val="Compact"/>
      </w:pPr>
      <w:r>
        <w:t xml:space="preserve">A validated Skill Gap Index profiling critical competencies (e.g., data analytics, ESG reporting) missing in current accounting curricula.</w:t>
      </w:r>
    </w:p>
    <w:p>
      <w:pPr>
        <w:numPr>
          <w:ilvl w:val="0"/>
          <w:numId w:val="1003"/>
        </w:numPr>
        <w:pStyle w:val="Compact"/>
      </w:pPr>
      <w:r>
        <w:t xml:space="preserve">A city-specific implementation roadmap for accountants to leverage digital tools while maintaining regulatory compliance in Auckland’s unique market.</w:t>
      </w:r>
    </w:p>
    <w:p>
      <w:pPr>
        <w:numPr>
          <w:ilvl w:val="0"/>
          <w:numId w:val="1003"/>
        </w:numPr>
        <w:pStyle w:val="Compact"/>
      </w:pPr>
      <w:r>
        <w:t xml:space="preserve">Policy recommendations for ICANZ and the New Zealand government on tailoring accounting education standards to metropolitan economic realities.</w:t>
      </w:r>
    </w:p>
    <w:p>
      <w:pPr>
        <w:pStyle w:val="FirstParagraph"/>
      </w:pPr>
      <w:r>
        <w:t xml:space="preserve">The significance extends beyond academia: For businesses in</w:t>
      </w:r>
      <w:r>
        <w:t xml:space="preserve"> </w:t>
      </w:r>
      <w:r>
        <w:rPr>
          <w:bCs/>
          <w:b/>
        </w:rPr>
        <w:t xml:space="preserve">New Zealand Auckland</w:t>
      </w:r>
      <w:r>
        <w:t xml:space="preserve">, this framework will reduce compliance risks and unlock strategic decision-making value. For emerging Accountant professionals, it provides a clear career development path aligned with Auckland’s growth sectors. Crucially, the study addresses the unmet need for localization—recognizing that an Accountant serving a Wynyard Quarter tech firm has vastly different needs than one managing a Papakura dairy farm.</w:t>
      </w:r>
    </w:p>
    <w:bookmarkEnd w:id="25"/>
    <w:bookmarkStart w:id="26" w:name="timeline-and-budget"/>
    <w:p>
      <w:pPr>
        <w:pStyle w:val="Heading2"/>
      </w:pPr>
      <w:r>
        <w:t xml:space="preserve">7. Timeline and Budget</w:t>
      </w:r>
    </w:p>
    <w:p>
      <w:pPr>
        <w:pStyle w:val="FirstParagraph"/>
      </w:pPr>
      <w:r>
        <w:t xml:space="preserve">The 12-month project will conclude with a public symposium in Auckland City Centre, featuring stakeholders from the New Zealand Institute of Professional Accountants (NZIPA) and Auckland Chamber of Commerce. Key milestones:</w:t>
      </w:r>
    </w:p>
    <w:p>
      <w:pPr>
        <w:numPr>
          <w:ilvl w:val="0"/>
          <w:numId w:val="1004"/>
        </w:numPr>
        <w:pStyle w:val="Compact"/>
      </w:pPr>
      <w:r>
        <w:rPr>
          <w:bCs/>
          <w:b/>
        </w:rPr>
        <w:t xml:space="preserve">Month 1–3</w:t>
      </w:r>
      <w:r>
        <w:t xml:space="preserve">: Survey deployment and ethics approvals.</w:t>
      </w:r>
    </w:p>
    <w:p>
      <w:pPr>
        <w:numPr>
          <w:ilvl w:val="0"/>
          <w:numId w:val="1004"/>
        </w:numPr>
        <w:pStyle w:val="Compact"/>
      </w:pPr>
      <w:r>
        <w:rPr>
          <w:bCs/>
          <w:b/>
        </w:rPr>
        <w:t xml:space="preserve">Month 4–7</w:t>
      </w:r>
      <w:r>
        <w:t xml:space="preserve">: Data collection via interviews and surveys.</w:t>
      </w:r>
    </w:p>
    <w:p>
      <w:pPr>
        <w:numPr>
          <w:ilvl w:val="0"/>
          <w:numId w:val="1004"/>
        </w:numPr>
        <w:pStyle w:val="Compact"/>
      </w:pPr>
      <w:r>
        <w:rPr>
          <w:bCs/>
          <w:b/>
        </w:rPr>
        <w:t xml:space="preserve">Month 8–10</w:t>
      </w:r>
      <w:r>
        <w:t xml:space="preserve">: Analysis and framework development.</w:t>
      </w:r>
    </w:p>
    <w:p>
      <w:pPr>
        <w:numPr>
          <w:ilvl w:val="0"/>
          <w:numId w:val="1004"/>
        </w:numPr>
        <w:pStyle w:val="Compact"/>
      </w:pPr>
      <w:r>
        <w:rPr>
          <w:bCs/>
          <w:b/>
        </w:rPr>
        <w:t xml:space="preserve">Month 11–12</w:t>
      </w:r>
      <w:r>
        <w:t xml:space="preserve">: Final report, stakeholder workshops, and policy briefings.</w:t>
      </w:r>
    </w:p>
    <w:p>
      <w:pPr>
        <w:pStyle w:val="FirstParagraph"/>
      </w:pPr>
      <w:r>
        <w:t xml:space="preserve">Budget allocation prioritizes Auckland-centric fieldwork (e.g., travel to satellite business hubs like Albany), totaling $85,000 NZD. Funding will be sought through the Ministry of Business, Innovation and Employment’s (MBIE) Research Programme Fund and partnerships with Auckland-based accounting firms.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responds to an urgent need for evidence-based evolution in the Accountant profession within the heart of New Zealand’s economy:</w:t>
      </w:r>
      <w:r>
        <w:t xml:space="preserve"> </w:t>
      </w:r>
      <w:r>
        <w:rPr>
          <w:bCs/>
          <w:b/>
        </w:rPr>
        <w:t xml:space="preserve">New Zealand Auckland</w:t>
      </w:r>
      <w:r>
        <w:t xml:space="preserve">. As Auckland accelerates its transformation into a global city, the Accountant must transition from compliance-focused technician to strategic partner. By grounding this study in local realities—addressing unique regulatory pressures, economic diversification, and demographic shifts—we will equip accountants and businesses with actionable insights to thrive. The success of this research will position</w:t>
      </w:r>
      <w:r>
        <w:t xml:space="preserve"> </w:t>
      </w:r>
      <w:r>
        <w:rPr>
          <w:bCs/>
          <w:b/>
        </w:rPr>
        <w:t xml:space="preserve">New Zealand Auckland</w:t>
      </w:r>
      <w:r>
        <w:t xml:space="preserve"> </w:t>
      </w:r>
      <w:r>
        <w:t xml:space="preserve">as a benchmark for accounting innovation in the Pacific Rim, ensuring that the Accountant remains an indispensable asset to the city’s sustainable prosperity. This is not merely an academic exercise; it is a strategic imperative for New Zealand’s most vital economic engine.</w:t>
      </w:r>
    </w:p>
    <w:bookmarkEnd w:id="27"/>
    <w:bookmarkStart w:id="28" w:name="references-selected"/>
    <w:p>
      <w:pPr>
        <w:pStyle w:val="Heading2"/>
      </w:pPr>
      <w:r>
        <w:t xml:space="preserve">References (Selected)</w:t>
      </w:r>
    </w:p>
    <w:p>
      <w:pPr>
        <w:numPr>
          <w:ilvl w:val="0"/>
          <w:numId w:val="1005"/>
        </w:numPr>
        <w:pStyle w:val="Compact"/>
      </w:pPr>
      <w:r>
        <w:t xml:space="preserve">Statistics New Zealand. (2023). *Auckland Economic Snapshot*. Wellington: StatsNZ.</w:t>
      </w:r>
    </w:p>
    <w:p>
      <w:pPr>
        <w:numPr>
          <w:ilvl w:val="0"/>
          <w:numId w:val="1005"/>
        </w:numPr>
        <w:pStyle w:val="Compact"/>
      </w:pPr>
      <w:r>
        <w:t xml:space="preserve">Institute of Chartered Accountants of New Zealand. (2023). *Digital Transformation in Accounting Survey*.</w:t>
      </w:r>
    </w:p>
    <w:p>
      <w:pPr>
        <w:numPr>
          <w:ilvl w:val="0"/>
          <w:numId w:val="1005"/>
        </w:numPr>
        <w:pStyle w:val="Compact"/>
      </w:pPr>
      <w:r>
        <w:t xml:space="preserve">University of Auckland Business School. (2023). *Accounting Skills Gap Report: Auckland Context*.</w:t>
      </w:r>
    </w:p>
    <w:p>
      <w:pPr>
        <w:numPr>
          <w:ilvl w:val="0"/>
          <w:numId w:val="1005"/>
        </w:numPr>
        <w:pStyle w:val="Compact"/>
      </w:pPr>
      <w:r>
        <w:t xml:space="preserve">New Zealand Government. (2021). *Climate Change Response (Emissions Trading) Amendment Act*.</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 in New Zealand Auckland</dc:title>
  <dc:creator/>
  <dc:language>en</dc:language>
  <cp:keywords/>
  <dcterms:created xsi:type="dcterms:W3CDTF">2025-12-09T04:38:54Z</dcterms:created>
  <dcterms:modified xsi:type="dcterms:W3CDTF">2025-12-09T04:38:54Z</dcterms:modified>
</cp:coreProperties>
</file>

<file path=docProps/custom.xml><?xml version="1.0" encoding="utf-8"?>
<Properties xmlns="http://schemas.openxmlformats.org/officeDocument/2006/custom-properties" xmlns:vt="http://schemas.openxmlformats.org/officeDocument/2006/docPropsVTypes"/>
</file>