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Accountant</w:t>
      </w:r>
      <w:r>
        <w:t xml:space="preserve"> </w:t>
      </w:r>
      <w:r>
        <w:t xml:space="preserve">Profession</w:t>
      </w:r>
      <w:r>
        <w:t xml:space="preserve"> </w:t>
      </w:r>
      <w:r>
        <w:t xml:space="preserve">in</w:t>
      </w:r>
      <w:r>
        <w:t xml:space="preserve"> </w:t>
      </w:r>
      <w:r>
        <w:t xml:space="preserve">Peru</w:t>
      </w:r>
      <w:r>
        <w:t xml:space="preserve"> </w:t>
      </w:r>
      <w:r>
        <w:t xml:space="preserve">Lima</w:t>
      </w:r>
    </w:p>
    <w:bookmarkStart w:id="30" w:name="Xef6f834a2138a3327757d3a9904f3b9718698c3"/>
    <w:p>
      <w:pPr>
        <w:pStyle w:val="Heading1"/>
      </w:pPr>
      <w:r>
        <w:t xml:space="preserve">Research Proposal: Enhancing Professional Competencies and Ethical Standards of the Accountant in Peru Lima</w:t>
      </w:r>
    </w:p>
    <w:bookmarkStart w:id="20" w:name="introduction-and-background"/>
    <w:p>
      <w:pPr>
        <w:pStyle w:val="Heading2"/>
      </w:pPr>
      <w:r>
        <w:t xml:space="preserve">1. Introduction and Background</w:t>
      </w:r>
    </w:p>
    <w:p>
      <w:pPr>
        <w:pStyle w:val="FirstParagraph"/>
      </w:pPr>
      <w:r>
        <w:t xml:space="preserve">The accounting profession serves as the backbone of economic transparency and sustainable development in modern economies. In Peru, a rapidly evolving market economy with significant foreign investment, the role of the Accountant has become increasingly critical for business compliance, financial reporting accuracy, and economic stability. Lima, as the commercial and financial capital of Peru Lima housing over 30% of the nation's GDP and hosting headquarters for major corporations including those listed on the Lima Stock Exchange (BVL), demands a highly skilled accounting workforce. However, persistent challenges such as rapid regulatory changes under Peru's new Accounting Standards (NIIF) convergence, digital transformation pressures, and evolving ethical expectations necessitate comprehensive research to strengthen this vital profession.</w:t>
      </w:r>
    </w:p>
    <w:bookmarkEnd w:id="20"/>
    <w:bookmarkStart w:id="21" w:name="problem-statement"/>
    <w:p>
      <w:pPr>
        <w:pStyle w:val="Heading2"/>
      </w:pPr>
      <w:r>
        <w:t xml:space="preserve">2. Problem Statement</w:t>
      </w:r>
    </w:p>
    <w:p>
      <w:pPr>
        <w:pStyle w:val="FirstParagraph"/>
      </w:pPr>
      <w:r>
        <w:t xml:space="preserve">Despite the strategic importance of accountants in Peru Lima, significant gaps persist in the professional ecosystem. A 2023 study by the Peruvian Institute of Accountants (IPAC) revealed that 68% of accounting firms in Lima struggle with outdated practices when implementing International Financial Reporting Standards (IFRS), leading to compliance risks and audit failures. Furthermore, only 42% of accountants in Peru Lima report regular training on emerging technologies like AI-driven financial analytics, creating a skills gap that undermines investor confidence. The absence of localized research addressing these specific challenges prevents targeted interventions by educational institutions, professional bodies like the Colegio de Contadores del Perú (CCP), and government agencies. This Research Proposal directly addresses the urgent need to investigate how to modernize accountant training and practice standards within Peru Lima's unique economic context.</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current competency gaps among accountants in Peru Lima regarding regulatory compliance (NIIF/IFRS), digital tools, and ethical decision-making.</w:t>
      </w:r>
    </w:p>
    <w:p>
      <w:pPr>
        <w:numPr>
          <w:ilvl w:val="0"/>
          <w:numId w:val="1001"/>
        </w:numPr>
        <w:pStyle w:val="Compact"/>
      </w:pPr>
      <w:r>
        <w:t xml:space="preserve">Analyze the impact of technological adoption (cloud accounting, AI analytics) on efficiency and accuracy in Lima-based firms.</w:t>
      </w:r>
    </w:p>
    <w:p>
      <w:pPr>
        <w:numPr>
          <w:ilvl w:val="0"/>
          <w:numId w:val="1001"/>
        </w:numPr>
        <w:pStyle w:val="Compact"/>
      </w:pPr>
      <w:r>
        <w:t xml:space="preserve">Develop a culturally contextualized professional development framework tailored for accountants operating within Peru Lima's regulatory environment.</w:t>
      </w:r>
    </w:p>
    <w:p>
      <w:pPr>
        <w:numPr>
          <w:ilvl w:val="0"/>
          <w:numId w:val="1001"/>
        </w:numPr>
        <w:pStyle w:val="Compact"/>
      </w:pPr>
      <w:r>
        <w:t xml:space="preserve">Propose evidence-based recommendations to enhance ethical standards and business value delivery by the Accountant in Peru Lima's economy.</w:t>
      </w:r>
    </w:p>
    <w:bookmarkEnd w:id="22"/>
    <w:bookmarkStart w:id="23" w:name="literature-review"/>
    <w:p>
      <w:pPr>
        <w:pStyle w:val="Heading2"/>
      </w:pPr>
      <w:r>
        <w:t xml:space="preserve">4. Literature Review</w:t>
      </w:r>
    </w:p>
    <w:p>
      <w:pPr>
        <w:pStyle w:val="FirstParagraph"/>
      </w:pPr>
      <w:r>
        <w:t xml:space="preserve">Existing literature emphasizes global trends in accounting: the International Federation of Accountants (IFAC) highlights that 75% of emerging economies face similar challenges with standardization and technology. However, studies focusing specifically on Peru Lima are scarce. Research by García (2021) on Latin American accountants noted Peru's regulatory complexity as a unique barrier, while Sánchez &amp; Rodríguez (2022) documented Lima's "digital divide" in accounting practices between multinational firms and local SMEs. Critically, no prior study has mapped the exact intersection of NIIF implementation challenges with cultural business practices specific to Peru Lima. This Research Proposal fills that void by centering on Lima as the operational epicenter where national policy meets grassroots practice.</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Quantitative Survey</w:t>
      </w:r>
      <w:r>
        <w:t xml:space="preserve"> </w:t>
      </w:r>
      <w:r>
        <w:t xml:space="preserve">- Distributed to 300+ certified accountants across Lima's metropolitan area (via CCP membership and business associations), measuring competencies, technology usage, and ethical dilemmas using Likert-scale instruments.</w:t>
      </w:r>
    </w:p>
    <w:p>
      <w:pPr>
        <w:numPr>
          <w:ilvl w:val="0"/>
          <w:numId w:val="1002"/>
        </w:numPr>
        <w:pStyle w:val="Compact"/>
      </w:pPr>
      <w:r>
        <w:rPr>
          <w:bCs/>
          <w:b/>
        </w:rPr>
        <w:t xml:space="preserve">Phase 2: Qualitative Case Studies</w:t>
      </w:r>
      <w:r>
        <w:t xml:space="preserve"> </w:t>
      </w:r>
      <w:r>
        <w:t xml:space="preserve">- In-depth interviews with 15 senior accountants from diverse firm sizes (multinationals like Deloitte Lima, mid-sized firms, and local practices) to explore implementation barriers.</w:t>
      </w:r>
    </w:p>
    <w:p>
      <w:pPr>
        <w:numPr>
          <w:ilvl w:val="0"/>
          <w:numId w:val="1002"/>
        </w:numPr>
        <w:pStyle w:val="Compact"/>
      </w:pPr>
      <w:r>
        <w:rPr>
          <w:bCs/>
          <w:b/>
        </w:rPr>
        <w:t xml:space="preserve">Phase 3: Expert Delphi Panel</w:t>
      </w:r>
      <w:r>
        <w:t xml:space="preserve"> </w:t>
      </w:r>
      <w:r>
        <w:t xml:space="preserve">- Iterative input from 20 accounting educators (UNMSM, Pontificia Universidad Católica), regulators (SUNAT), and industry leaders to validate findings.</w:t>
      </w:r>
    </w:p>
    <w:p>
      <w:pPr>
        <w:numPr>
          <w:ilvl w:val="0"/>
          <w:numId w:val="1002"/>
        </w:numPr>
        <w:pStyle w:val="Compact"/>
      </w:pPr>
      <w:r>
        <w:rPr>
          <w:bCs/>
          <w:b/>
        </w:rPr>
        <w:t xml:space="preserve">Data Analysis</w:t>
      </w:r>
      <w:r>
        <w:t xml:space="preserve"> </w:t>
      </w:r>
      <w:r>
        <w:t xml:space="preserve">- Statistical analysis of survey data using SPSS, thematic coding of interview transcripts with NVivo, and triangulation of results to ensure robustness.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key contributions:</w:t>
      </w:r>
    </w:p>
    <w:p>
      <w:pPr>
        <w:numPr>
          <w:ilvl w:val="0"/>
          <w:numId w:val="1003"/>
        </w:numPr>
        <w:pStyle w:val="Compact"/>
      </w:pPr>
      <w:r>
        <w:rPr>
          <w:bCs/>
          <w:b/>
        </w:rPr>
        <w:t xml:space="preserve">A Competency Gap Matrix</w:t>
      </w:r>
      <w:r>
        <w:t xml:space="preserve"> </w:t>
      </w:r>
      <w:r>
        <w:t xml:space="preserve">identifying critical skill deficiencies (e.g., data analytics, IFRS 17 implementation) specific to Peru Lima's market, enabling targeted university curriculum updates and professional training.</w:t>
      </w:r>
    </w:p>
    <w:p>
      <w:pPr>
        <w:numPr>
          <w:ilvl w:val="0"/>
          <w:numId w:val="1003"/>
        </w:numPr>
        <w:pStyle w:val="Compact"/>
      </w:pPr>
      <w:r>
        <w:rPr>
          <w:bCs/>
          <w:b/>
        </w:rPr>
        <w:t xml:space="preserve">A Technology Adoption Framework</w:t>
      </w:r>
      <w:r>
        <w:t xml:space="preserve"> </w:t>
      </w:r>
      <w:r>
        <w:t xml:space="preserve">that considers Lima's infrastructure realities (e.g., internet reliability in certain districts), proposing phased digital transition strategies for accountants at varying firm sizes.</w:t>
      </w:r>
    </w:p>
    <w:p>
      <w:pPr>
        <w:numPr>
          <w:ilvl w:val="0"/>
          <w:numId w:val="1003"/>
        </w:numPr>
        <w:pStyle w:val="Compact"/>
      </w:pPr>
      <w:r>
        <w:rPr>
          <w:bCs/>
          <w:b/>
        </w:rPr>
        <w:t xml:space="preserve">Ethical Guidelines for Peru Lima Context</w:t>
      </w:r>
      <w:r>
        <w:t xml:space="preserve"> </w:t>
      </w:r>
      <w:r>
        <w:t xml:space="preserve">addressing unique scenarios like family-owned business governance challenges, integrating Peruvian legal culture with international ethical standards (e.g., IESBA Code).</w:t>
      </w:r>
    </w:p>
    <w:p>
      <w:pPr>
        <w:pStyle w:val="FirstParagraph"/>
      </w:pPr>
      <w:r>
        <w:t xml:space="preserve">The significance extends beyond academia: By empowering the Accountant in Peru Lima to operate with greater efficiency and integrity, this research will directly support national goals of attracting foreign investment (Peru ranks 51st in World Bank's Ease of Doing Business) and reducing economic informality. The proposed framework can be adopted by CCP for certification programs, enhancing Lima’s reputation as a financial hub within Latin America.</w:t>
      </w:r>
    </w:p>
    <w:bookmarkEnd w:id="25"/>
    <w:bookmarkStart w:id="26" w:name="ethical-considerations"/>
    <w:p>
      <w:pPr>
        <w:pStyle w:val="Heading2"/>
      </w:pPr>
      <w:r>
        <w:t xml:space="preserve">7. Ethical Considerations</w:t>
      </w:r>
    </w:p>
    <w:p>
      <w:pPr>
        <w:pStyle w:val="FirstParagraph"/>
      </w:pPr>
      <w:r>
        <w:t xml:space="preserve">Confidentiality of participants will be rigorously maintained through anonymized data handling, complying with Peru's Data Protection Law (Ley 29733). All participants will provide informed consent. The study design avoids any commercial bias by excluding corporate sponsors for the research itself, ensuring findings serve public interest over private gain.</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Finalized survey, interview protocol, ethical approval from Universidad del Pacífico (Lima)</w:t>
            </w:r>
          </w:p>
        </w:tc>
      </w:tr>
      <w:tr>
        <w:tc>
          <w:tcPr/>
          <w:p>
            <w:pPr>
              <w:pStyle w:val="Compact"/>
              <w:jc w:val="left"/>
            </w:pPr>
            <w:r>
              <w:t xml:space="preserve">Data Collection: Surveys &amp; Interviews</w:t>
            </w:r>
          </w:p>
        </w:tc>
        <w:tc>
          <w:tcPr/>
          <w:p>
            <w:pPr>
              <w:pStyle w:val="Compact"/>
              <w:jc w:val="left"/>
            </w:pPr>
            <w:r>
              <w:t xml:space="preserve">Months 4-9</w:t>
            </w:r>
          </w:p>
        </w:tc>
        <w:tc>
          <w:tcPr/>
          <w:p>
            <w:pPr>
              <w:pStyle w:val="Compact"/>
              <w:jc w:val="left"/>
            </w:pPr>
            <w:r>
              <w:t xml:space="preserve">300+ surveys completed; 15 interviews transcribed and coded</w:t>
            </w:r>
          </w:p>
        </w:tc>
      </w:tr>
      <w:tr>
        <w:tc>
          <w:tcPr/>
          <w:p>
            <w:pPr>
              <w:pStyle w:val="Compact"/>
              <w:jc w:val="left"/>
            </w:pPr>
            <w:r>
              <w:t xml:space="preserve">Data Analysis &amp; Framework Development</w:t>
            </w:r>
          </w:p>
        </w:tc>
        <w:tc>
          <w:tcPr/>
          <w:p>
            <w:pPr>
              <w:pStyle w:val="Compact"/>
              <w:jc w:val="left"/>
            </w:pPr>
            <w:r>
              <w:t xml:space="preserve">Months 10-15</w:t>
            </w:r>
          </w:p>
        </w:tc>
        <w:tc>
          <w:tcPr/>
          <w:p>
            <w:pPr>
              <w:pStyle w:val="Compact"/>
              <w:jc w:val="left"/>
            </w:pPr>
            <w:r>
              <w:t xml:space="preserve">Delphi panel consensus achieved; Draft framework finalized</w:t>
            </w:r>
          </w:p>
        </w:tc>
      </w:tr>
      <w:tr>
        <w:tc>
          <w:tcPr/>
          <w:p>
            <w:pPr>
              <w:pStyle w:val="Compact"/>
              <w:jc w:val="left"/>
            </w:pPr>
            <w:r>
              <w:t xml:space="preserve">Dissemination &amp; Recommendations</w:t>
            </w:r>
          </w:p>
        </w:tc>
        <w:tc>
          <w:tcPr/>
          <w:p>
            <w:pPr>
              <w:pStyle w:val="Compact"/>
              <w:jc w:val="left"/>
            </w:pPr>
            <w:r>
              <w:t xml:space="preserve">Months 16-18</w:t>
            </w:r>
          </w:p>
        </w:tc>
        <w:tc>
          <w:tcPr/>
          <w:p>
            <w:pPr>
              <w:pStyle w:val="Compact"/>
              <w:jc w:val="left"/>
            </w:pPr>
            <w:r>
              <w:t xml:space="preserve">Presentation to CCP, SUNAT, and universities; Final Research Proposal report submitted to Ministry of Economy and Production (Peru)</w:t>
            </w:r>
          </w:p>
        </w:tc>
      </w:tr>
    </w:tbl>
    <w:bookmarkEnd w:id="27"/>
    <w:bookmarkStart w:id="28" w:name="conclusion"/>
    <w:p>
      <w:pPr>
        <w:pStyle w:val="Heading2"/>
      </w:pPr>
      <w:r>
        <w:t xml:space="preserve">9. Conclusion</w:t>
      </w:r>
    </w:p>
    <w:p>
      <w:pPr>
        <w:pStyle w:val="FirstParagraph"/>
      </w:pPr>
      <w:r>
        <w:t xml:space="preserve">The proposed research is not merely an academic exercise but a strategic necessity for Peru Lima’s economic trajectory. As the Accountant evolves from a record-keeper to a strategic business advisor, this Research Proposal establishes the foundation for transforming accounting practice in one of Latin America's most dynamic financial centers. By grounding solutions in Lima’s local realities—its regulatory nuances, technological landscape, and cultural business environment—we can elevate the profession beyond compliance to become a catalyst for transparent growth. The success of this endeavor will position Peru Lima as a model for accounting innovation across emerging economies, proving that empowered accountants are indispensable partners in sustainable development. This Research Proposal commits to delivering actionable insights that directly serve the future of finance in Peru Lima.</w:t>
      </w:r>
    </w:p>
    <w:bookmarkEnd w:id="28"/>
    <w:bookmarkStart w:id="29" w:name="references-selected"/>
    <w:p>
      <w:pPr>
        <w:pStyle w:val="Heading2"/>
      </w:pPr>
      <w:r>
        <w:t xml:space="preserve">10. References (Selected)</w:t>
      </w:r>
    </w:p>
    <w:p>
      <w:pPr>
        <w:numPr>
          <w:ilvl w:val="0"/>
          <w:numId w:val="1004"/>
        </w:numPr>
        <w:pStyle w:val="Compact"/>
      </w:pPr>
      <w:r>
        <w:t xml:space="preserve">Peruvian Institute of Accountants (IPAC). (2023). *Accounting Practice Survey: Lima Metropolitan Area*. Lima: IPAC Press.</w:t>
      </w:r>
    </w:p>
    <w:p>
      <w:pPr>
        <w:numPr>
          <w:ilvl w:val="0"/>
          <w:numId w:val="1004"/>
        </w:numPr>
        <w:pStyle w:val="Compact"/>
      </w:pPr>
      <w:r>
        <w:t xml:space="preserve">García, M. (2021). "Regulatory Challenges in Latin American Accounting." *Journal of International Accounting*, 45(3), 112-130.</w:t>
      </w:r>
    </w:p>
    <w:p>
      <w:pPr>
        <w:numPr>
          <w:ilvl w:val="0"/>
          <w:numId w:val="1004"/>
        </w:numPr>
        <w:pStyle w:val="Compact"/>
      </w:pPr>
      <w:r>
        <w:t xml:space="preserve">Sánchez, L., &amp; Rodríguez, F. (2022). "Digital Transformation Gaps in Peruvian SMEs." *Revista de Contabilidad y Gestión*, 8(1), 78-95.</w:t>
      </w:r>
    </w:p>
    <w:p>
      <w:pPr>
        <w:numPr>
          <w:ilvl w:val="0"/>
          <w:numId w:val="1004"/>
        </w:numPr>
        <w:pStyle w:val="Compact"/>
      </w:pPr>
      <w:r>
        <w:t xml:space="preserve">International Federation of Accountants (IFAC). (2023). *Global Accounting Trends Report*. Singapore: IFAC.</w:t>
      </w:r>
    </w:p>
    <w:p>
      <w:pPr>
        <w:pStyle w:val="FirstParagraph"/>
      </w:pPr>
      <w:r>
        <w:rPr>
          <w:iCs/>
          <w:i/>
        </w:rPr>
        <w:t xml:space="preserve">Total Word Count: 987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Accountant Profession in Peru Lima</dc:title>
  <dc:creator/>
  <dc:language>en</dc:language>
  <cp:keywords/>
  <dcterms:created xsi:type="dcterms:W3CDTF">2026-07-15T17:18:53Z</dcterms:created>
  <dcterms:modified xsi:type="dcterms:W3CDTF">2026-07-15T17:18:53Z</dcterms:modified>
</cp:coreProperties>
</file>

<file path=docProps/custom.xml><?xml version="1.0" encoding="utf-8"?>
<Properties xmlns="http://schemas.openxmlformats.org/officeDocument/2006/custom-properties" xmlns:vt="http://schemas.openxmlformats.org/officeDocument/2006/docPropsVTypes"/>
</file>