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Manila's</w:t>
      </w:r>
      <w:r>
        <w:t xml:space="preserve"> </w:t>
      </w:r>
      <w:r>
        <w:t xml:space="preserve">Dynamic</w:t>
      </w:r>
      <w:r>
        <w:t xml:space="preserve"> </w:t>
      </w:r>
      <w:r>
        <w:t xml:space="preserve">Business</w:t>
      </w:r>
      <w:r>
        <w:t xml:space="preserve"> </w:t>
      </w:r>
      <w:r>
        <w:t xml:space="preserve">Landscape</w:t>
      </w:r>
    </w:p>
    <w:bookmarkStart w:id="27" w:name="Xcd8907283d66c85b01d0a918d8043be30482ab7"/>
    <w:p>
      <w:pPr>
        <w:pStyle w:val="Heading1"/>
      </w:pPr>
      <w:r>
        <w:t xml:space="preserve">Research Proposal: The Evolving Role of the Accountant in Manila's Dynamic Business Landscape</w:t>
      </w:r>
    </w:p>
    <w:bookmarkStart w:id="20" w:name="introduction-and-research-context"/>
    <w:p>
      <w:pPr>
        <w:pStyle w:val="Heading2"/>
      </w:pPr>
      <w:r>
        <w:t xml:space="preserve">1. Introduction and Research Context</w:t>
      </w:r>
    </w:p>
    <w:p>
      <w:pPr>
        <w:pStyle w:val="FirstParagraph"/>
      </w:pPr>
      <w:r>
        <w:t xml:space="preserve">The accounting profession in the Philippines, particularly within the bustling economic hub of Manila, stands at a pivotal juncture. As the capital city and financial nerve center of the nation, Manila hosts over 80% of the country's multinational corporations (MNCs), large local enterprises, and rapidly growing small and medium-sized enterprises (SMEs). This concentration creates unique demands on the</w:t>
      </w:r>
      <w:r>
        <w:t xml:space="preserve"> </w:t>
      </w:r>
      <w:r>
        <w:rPr>
          <w:iCs/>
          <w:i/>
        </w:rPr>
        <w:t xml:space="preserve">Accountant</w:t>
      </w:r>
      <w:r>
        <w:t xml:space="preserve">, whose role has evolved far beyond traditional bookkeeping to encompass strategic advisory, risk management, and compliance within a complex regulatory environment. The recent implementation of the Tax Reform for Acceleration and Inclusion (TRAIN) Law (Republic Act No. 10963) and continuous updates by the Bureau of Internal Revenue (BIR), particularly through its Manila regional offices, have intensified pressure on accounting professionals to adapt swiftly. This research proposal addresses a critical gap: understanding how</w:t>
      </w:r>
      <w:r>
        <w:t xml:space="preserve"> </w:t>
      </w:r>
      <w:r>
        <w:rPr>
          <w:iCs/>
          <w:i/>
        </w:rPr>
        <w:t xml:space="preserve">Accountants</w:t>
      </w:r>
      <w:r>
        <w:t xml:space="preserve"> </w:t>
      </w:r>
      <w:r>
        <w:t xml:space="preserve">in</w:t>
      </w:r>
      <w:r>
        <w:t xml:space="preserve"> </w:t>
      </w:r>
      <w:r>
        <w:rPr>
          <w:iCs/>
          <w:i/>
        </w:rPr>
        <w:t xml:space="preserve">Philippines Manila</w:t>
      </w:r>
      <w:r>
        <w:t xml:space="preserve"> </w:t>
      </w:r>
      <w:r>
        <w:t xml:space="preserve">navigate these systemic changes while meeting the escalating demands of modern business. The study aims to provide actionable insights for professional development, regulatory bodies, and businesses operating within Manila's competitive ecosystem.</w:t>
      </w:r>
    </w:p>
    <w:bookmarkEnd w:id="20"/>
    <w:bookmarkStart w:id="21" w:name="problem-statement"/>
    <w:p>
      <w:pPr>
        <w:pStyle w:val="Heading2"/>
      </w:pPr>
      <w:r>
        <w:t xml:space="preserve">2. Problem Statement</w:t>
      </w:r>
    </w:p>
    <w:p>
      <w:pPr>
        <w:pStyle w:val="FirstParagraph"/>
      </w:pPr>
      <w:r>
        <w:t xml:space="preserve">Despite the central role of accountants in Manila's economy, significant challenges persist that threaten operational efficiency and strategic contribution. Key issues include:</w:t>
      </w:r>
    </w:p>
    <w:p>
      <w:pPr>
        <w:numPr>
          <w:ilvl w:val="0"/>
          <w:numId w:val="1001"/>
        </w:numPr>
        <w:pStyle w:val="Compact"/>
      </w:pPr>
      <w:r>
        <w:rPr>
          <w:bCs/>
          <w:b/>
        </w:rPr>
        <w:t xml:space="preserve">Regulatory Complexity:</w:t>
      </w:r>
      <w:r>
        <w:t xml:space="preserve"> </w:t>
      </w:r>
      <w:r>
        <w:t xml:space="preserve">Navigating frequent amendments to tax laws (BIR Revenue Regulations), Philippine Financial Reporting Standards (PFRS) updates, and local government requirements within Manila's diverse municipal jurisdictions.</w:t>
      </w:r>
    </w:p>
    <w:p>
      <w:pPr>
        <w:numPr>
          <w:ilvl w:val="0"/>
          <w:numId w:val="1001"/>
        </w:numPr>
        <w:pStyle w:val="Compact"/>
      </w:pPr>
      <w:r>
        <w:rPr>
          <w:bCs/>
          <w:b/>
        </w:rPr>
        <w:t xml:space="preserve">Tech Adoption Gap:</w:t>
      </w:r>
      <w:r>
        <w:t xml:space="preserve"> </w:t>
      </w:r>
      <w:r>
        <w:t xml:space="preserve">While cloud accounting and AI tools are emerging, many</w:t>
      </w:r>
      <w:r>
        <w:t xml:space="preserve"> </w:t>
      </w:r>
      <w:r>
        <w:rPr>
          <w:iCs/>
          <w:i/>
        </w:rPr>
        <w:t xml:space="preserve">Accountant</w:t>
      </w:r>
      <w:r>
        <w:t xml:space="preserve">s in SMEs across Manila face barriers to adoption due to cost, training gaps, or resistance to change.</w:t>
      </w:r>
    </w:p>
    <w:p>
      <w:pPr>
        <w:numPr>
          <w:ilvl w:val="0"/>
          <w:numId w:val="1001"/>
        </w:numPr>
        <w:pStyle w:val="Compact"/>
      </w:pPr>
      <w:r>
        <w:rPr>
          <w:bCs/>
          <w:b/>
        </w:rPr>
        <w:t xml:space="preserve">Skill Mismatch:</w:t>
      </w:r>
      <w:r>
        <w:t xml:space="preserve"> </w:t>
      </w:r>
      <w:r>
        <w:t xml:space="preserve">Surveys by the Commission on Audit (COA) and Philippine Institute of Certified Public Accountants (PICPA) indicate a disconnect between the skills taught in local universities and the practical needs of Manila-based firms requiring strategic financial analysis.</w:t>
      </w:r>
    </w:p>
    <w:p>
      <w:pPr>
        <w:numPr>
          <w:ilvl w:val="0"/>
          <w:numId w:val="1001"/>
        </w:numPr>
        <w:pStyle w:val="Compact"/>
      </w:pPr>
      <w:r>
        <w:rPr>
          <w:bCs/>
          <w:b/>
        </w:rPr>
        <w:t xml:space="preserve">Workload &amp; Burnout:</w:t>
      </w:r>
      <w:r>
        <w:t xml:space="preserve"> </w:t>
      </w:r>
      <w:r>
        <w:t xml:space="preserve">The pressure to meet strict BIR deadlines (e.g., quarterly VAT filings, annual income tax returns) in Manila's high-stakes business environment contributes to professional burnout among accountants.</w:t>
      </w:r>
    </w:p>
    <w:p>
      <w:pPr>
        <w:pStyle w:val="FirstParagraph"/>
      </w:pPr>
      <w:r>
        <w:t xml:space="preserve">This research directly targets these challenges within the specific context of</w:t>
      </w:r>
      <w:r>
        <w:t xml:space="preserve"> </w:t>
      </w:r>
      <w:r>
        <w:rPr>
          <w:iCs/>
          <w:i/>
        </w:rPr>
        <w:t xml:space="preserve">Philippines Manila</w:t>
      </w:r>
      <w:r>
        <w:t xml:space="preserve">, where the density of businesses and regulatory scrutiny is unparalleled. Ignoring this localized reality risks perpetuating inefficiencies that stifle Manila's economic growth potential.</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iCs/>
          <w:i/>
        </w:rPr>
        <w:t xml:space="preserve">Philippines Manila</w:t>
      </w:r>
      <w:r>
        <w:t xml:space="preserve"> </w:t>
      </w:r>
      <w:r>
        <w:t xml:space="preserve">context:</w:t>
      </w:r>
    </w:p>
    <w:p>
      <w:pPr>
        <w:numPr>
          <w:ilvl w:val="0"/>
          <w:numId w:val="1002"/>
        </w:numPr>
        <w:pStyle w:val="Compact"/>
      </w:pPr>
      <w:r>
        <w:t xml:space="preserve">To analyze the impact of recent regulatory changes (BIR updates, PFRS standards) on daily accounting workflows for professionals in Manila-based SMEs and MNCs.</w:t>
      </w:r>
    </w:p>
    <w:p>
      <w:pPr>
        <w:numPr>
          <w:ilvl w:val="0"/>
          <w:numId w:val="1002"/>
        </w:numPr>
        <w:pStyle w:val="Compact"/>
      </w:pPr>
      <w:r>
        <w:t xml:space="preserve">To identify the most critical technical and soft skills gaps perceived by Manila employers as essential for modern</w:t>
      </w:r>
      <w:r>
        <w:t xml:space="preserve"> </w:t>
      </w:r>
      <w:r>
        <w:rPr>
          <w:iCs/>
          <w:i/>
        </w:rPr>
        <w:t xml:space="preserve">Accountant</w:t>
      </w:r>
      <w:r>
        <w:t xml:space="preserve">s.</w:t>
      </w:r>
    </w:p>
    <w:p>
      <w:pPr>
        <w:numPr>
          <w:ilvl w:val="0"/>
          <w:numId w:val="1002"/>
        </w:numPr>
        <w:pStyle w:val="Compact"/>
      </w:pPr>
      <w:r>
        <w:t xml:space="preserve">To assess the adoption rates, barriers, and perceived benefits of digital accounting tools (cloud software, AI analytics) among accountants across different sectors in Metro Manila.</w:t>
      </w:r>
    </w:p>
    <w:p>
      <w:pPr>
        <w:numPr>
          <w:ilvl w:val="0"/>
          <w:numId w:val="1002"/>
        </w:numPr>
        <w:pStyle w:val="Compact"/>
      </w:pPr>
      <w:r>
        <w:t xml:space="preserve">To evaluate the correlation between professional development initiatives (training, certifications) and career advancement within Manila's accounting sector.</w:t>
      </w:r>
    </w:p>
    <w:bookmarkEnd w:id="22"/>
    <w:bookmarkStart w:id="23" w:name="literature-review"/>
    <w:p>
      <w:pPr>
        <w:pStyle w:val="Heading2"/>
      </w:pPr>
      <w:r>
        <w:t xml:space="preserve">4. Literature Review</w:t>
      </w:r>
    </w:p>
    <w:p>
      <w:pPr>
        <w:pStyle w:val="FirstParagraph"/>
      </w:pPr>
      <w:r>
        <w:t xml:space="preserve">Existing literature on Philippine accounting often focuses on national trends or global standards, lacking deep granularity for Manila's micro-environment. Studies by the University of the Philippines (UP) School of Accountancy and PICPA highlight general skill gaps but rarely dissect Manila-specific dynamics like traffic congestion delaying BIR office visits in Quezon City or Makati, or municipal tax variations between cities like Pasig and Mandaluyong. Recent work on digital transformation (e.g., by PwC Philippines) touches on national adoption rates but overlooks the unique challenges faced by accountants managing multiple client locations across Manila's sprawling metropolitan area. This research fills this void by centering</w:t>
      </w:r>
      <w:r>
        <w:t xml:space="preserve"> </w:t>
      </w:r>
      <w:r>
        <w:rPr>
          <w:iCs/>
          <w:i/>
        </w:rPr>
        <w:t xml:space="preserve">Philippines Manila</w:t>
      </w:r>
      <w:r>
        <w:t xml:space="preserve"> </w:t>
      </w:r>
      <w:r>
        <w:t xml:space="preserve">as both the geographical and contextual anchor, ensuring findings are directly applicable to the city's distinct operational realities.</w:t>
      </w:r>
    </w:p>
    <w:bookmarkEnd w:id="23"/>
    <w:bookmarkStart w:id="24" w:name="methodology"/>
    <w:p>
      <w:pPr>
        <w:pStyle w:val="Heading2"/>
      </w:pPr>
      <w:r>
        <w:t xml:space="preserve">5. Methodology</w:t>
      </w:r>
    </w:p>
    <w:p>
      <w:pPr>
        <w:pStyle w:val="FirstParagraph"/>
      </w:pPr>
      <w:r>
        <w:t xml:space="preserve">A mixed-methods approach is proposed for robust, contextually grounded insights:</w:t>
      </w:r>
    </w:p>
    <w:p>
      <w:pPr>
        <w:numPr>
          <w:ilvl w:val="0"/>
          <w:numId w:val="1003"/>
        </w:numPr>
        <w:pStyle w:val="Compact"/>
      </w:pPr>
      <w:r>
        <w:rPr>
          <w:bCs/>
          <w:b/>
        </w:rPr>
        <w:t xml:space="preserve">Quantitative Phase:</w:t>
      </w:r>
      <w:r>
        <w:t xml:space="preserve"> </w:t>
      </w:r>
      <w:r>
        <w:t xml:space="preserve">Online survey distributed to 300+ practicing accountants across Manila (targeting Makati CBD, Bonifacio Global City (BGC), Quezon City business districts, and key SME clusters like Binondo). The survey will measure regulatory burden, tech adoption levels, skill perceptions, and workload indicators using Likert scales.</w:t>
      </w:r>
    </w:p>
    <w:p>
      <w:pPr>
        <w:numPr>
          <w:ilvl w:val="0"/>
          <w:numId w:val="1003"/>
        </w:numPr>
        <w:pStyle w:val="Compact"/>
      </w:pPr>
      <w:r>
        <w:rPr>
          <w:bCs/>
          <w:b/>
        </w:rPr>
        <w:t xml:space="preserve">Qualitative Phase:</w:t>
      </w:r>
      <w:r>
        <w:t xml:space="preserve"> </w:t>
      </w:r>
      <w:r>
        <w:t xml:space="preserve">In-depth interviews with 20+ key stakeholders: Senior Accountants from major Manila firms (e.g., Deloitte Manila, PwC Philippines), BIR Regional Office personnel (Manila), HR heads of prominent Manila SMEs, and PICPA representatives. This explores nuanced challenges and contextual factors invisible in surveys.</w:t>
      </w:r>
    </w:p>
    <w:p>
      <w:pPr>
        <w:numPr>
          <w:ilvl w:val="0"/>
          <w:numId w:val="1003"/>
        </w:numPr>
        <w:pStyle w:val="Compact"/>
      </w:pPr>
      <w:r>
        <w:rPr>
          <w:bCs/>
          <w:b/>
        </w:rPr>
        <w:t xml:space="preserve">Data Analysis:</w:t>
      </w:r>
      <w:r>
        <w:t xml:space="preserve"> </w:t>
      </w:r>
      <w:r>
        <w:t xml:space="preserve">Quantitative data analyzed via SPSS for statistical correlations; Qualitative data coded thematically to identify recurring patterns related to the Manila environment (e.g., "How does traffic impact compliance timelines?"). Triangulation will ensure findings reflect the true complexities of working as an</w:t>
      </w:r>
      <w:r>
        <w:t xml:space="preserve"> </w:t>
      </w:r>
      <w:r>
        <w:rPr>
          <w:iCs/>
          <w:i/>
        </w:rPr>
        <w:t xml:space="preserve">Accountant</w:t>
      </w:r>
      <w:r>
        <w:t xml:space="preserve"> </w:t>
      </w:r>
      <w:r>
        <w:t xml:space="preserve">in</w:t>
      </w:r>
      <w:r>
        <w:t xml:space="preserve"> </w:t>
      </w:r>
      <w:r>
        <w:rPr>
          <w:iCs/>
          <w:i/>
        </w:rPr>
        <w:t xml:space="preserve">Philippines Manila</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several significant contributions directly relevant to the accounting profession in Manila:</w:t>
      </w:r>
    </w:p>
    <w:p>
      <w:pPr>
        <w:numPr>
          <w:ilvl w:val="0"/>
          <w:numId w:val="1004"/>
        </w:numPr>
        <w:pStyle w:val="Compact"/>
      </w:pPr>
      <w:r>
        <w:rPr>
          <w:bCs/>
          <w:b/>
        </w:rPr>
        <w:t xml:space="preserve">Actionable Skill Framework:</w:t>
      </w:r>
      <w:r>
        <w:t xml:space="preserve"> </w:t>
      </w:r>
      <w:r>
        <w:t xml:space="preserve">A prioritized list of technical (e.g., PFRS 17 implementation, BIR e-filing systems) and soft skills (e.g., cross-cultural communication with diverse Manila clients) needed for success.</w:t>
      </w:r>
    </w:p>
    <w:p>
      <w:pPr>
        <w:numPr>
          <w:ilvl w:val="0"/>
          <w:numId w:val="1004"/>
        </w:numPr>
        <w:pStyle w:val="Compact"/>
      </w:pPr>
      <w:r>
        <w:rPr>
          <w:bCs/>
          <w:b/>
        </w:rPr>
        <w:t xml:space="preserve">Technology Roadmap:</w:t>
      </w:r>
      <w:r>
        <w:t xml:space="preserve"> </w:t>
      </w:r>
      <w:r>
        <w:t xml:space="preserve">Evidence-based recommendations on cost-effective digital tools and training pathways suitable for the Manila SME landscape.</w:t>
      </w:r>
    </w:p>
    <w:p>
      <w:pPr>
        <w:numPr>
          <w:ilvl w:val="0"/>
          <w:numId w:val="1004"/>
        </w:numPr>
        <w:pStyle w:val="Compact"/>
      </w:pPr>
      <w:r>
        <w:rPr>
          <w:bCs/>
          <w:b/>
        </w:rPr>
        <w:t xml:space="preserve">Policy Recommendations:</w:t>
      </w:r>
      <w:r>
        <w:t xml:space="preserve"> </w:t>
      </w:r>
      <w:r>
        <w:t xml:space="preserve">Proposals to the BIR Manila Regional Office and PICPA addressing systemic friction points (e.g., streamlining common filing processes for frequent filers in Metro Manila).</w:t>
      </w:r>
    </w:p>
    <w:p>
      <w:pPr>
        <w:numPr>
          <w:ilvl w:val="0"/>
          <w:numId w:val="1004"/>
        </w:numPr>
        <w:pStyle w:val="Compact"/>
      </w:pPr>
      <w:r>
        <w:rPr>
          <w:bCs/>
          <w:b/>
        </w:rPr>
        <w:t xml:space="preserve">Professional Development Guide:</w:t>
      </w:r>
      <w:r>
        <w:t xml:space="preserve"> </w:t>
      </w:r>
      <w:r>
        <w:t xml:space="preserve">A resource for accounting educators in Manila universities and training providers to align curricula with market demands.</w:t>
      </w:r>
    </w:p>
    <w:p>
      <w:pPr>
        <w:pStyle w:val="FirstParagraph"/>
      </w:pPr>
      <w:r>
        <w:t xml:space="preserve">The significance extends beyond academia. By empowering the</w:t>
      </w:r>
      <w:r>
        <w:t xml:space="preserve"> </w:t>
      </w:r>
      <w:r>
        <w:rPr>
          <w:iCs/>
          <w:i/>
        </w:rPr>
        <w:t xml:space="preserve">Accountant</w:t>
      </w:r>
      <w:r>
        <w:t xml:space="preserve"> </w:t>
      </w:r>
      <w:r>
        <w:t xml:space="preserve">as a strategic asset within Manila's business ecosystem, this research supports national goals of economic growth and financial transparency as outlined in the Philippine Development Plan (PDP) 2023-2028. It directly addresses the need for a more agile, tech-savvy accounting workforce capable of sustaining</w:t>
      </w:r>
      <w:r>
        <w:t xml:space="preserve"> </w:t>
      </w:r>
      <w:r>
        <w:rPr>
          <w:iCs/>
          <w:i/>
        </w:rPr>
        <w:t xml:space="preserve">Philippines Manila</w:t>
      </w:r>
      <w:r>
        <w:t xml:space="preserve">'s position as Southeast Asia's leading investment destination.</w:t>
      </w:r>
    </w:p>
    <w:bookmarkEnd w:id="25"/>
    <w:bookmarkStart w:id="26" w:name="conclusion"/>
    <w:p>
      <w:pPr>
        <w:pStyle w:val="Heading2"/>
      </w:pPr>
      <w:r>
        <w:t xml:space="preserve">7. Conclusion</w:t>
      </w:r>
    </w:p>
    <w:p>
      <w:pPr>
        <w:pStyle w:val="FirstParagraph"/>
      </w:pPr>
      <w:r>
        <w:t xml:space="preserve">The role of the Accountant in the Philippines is irrevocably shaped by Manila's unique economic, regulatory, and operational landscape. This research proposal outlines a critical investigation into how professionals navigate this complex environment. By focusing squarely on the realities faced by accountants working daily within Manila's vibrant yet demanding business corridors—from BGC to Intramuros—the study promises concrete insights that will benefit practitioners, educators, regulators (especially the BIR Manila office), and businesses seeking to optimize their financial leadership in the Philippines capital. The findings will serve as a vital roadmap for building a more resilient, innovative, and strategically valuable accounting profession capable of driving sustainable growth across</w:t>
      </w:r>
      <w:r>
        <w:t xml:space="preserve"> </w:t>
      </w:r>
      <w:r>
        <w:rPr>
          <w:iCs/>
          <w:i/>
        </w:rPr>
        <w:t xml:space="preserve">Philippines Manila</w:t>
      </w:r>
      <w:r>
        <w:t xml:space="preserve"> </w:t>
      </w:r>
      <w:r>
        <w:t xml:space="preserve">and beyond.</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Manila's Dynamic Business Landscape</dc:title>
  <dc:creator/>
  <dc:language>en</dc:language>
  <cp:keywords/>
  <dcterms:created xsi:type="dcterms:W3CDTF">2026-07-21T06:52:38Z</dcterms:created>
  <dcterms:modified xsi:type="dcterms:W3CDTF">2026-07-21T06:52:38Z</dcterms:modified>
</cp:coreProperties>
</file>

<file path=docProps/custom.xml><?xml version="1.0" encoding="utf-8"?>
<Properties xmlns="http://schemas.openxmlformats.org/officeDocument/2006/custom-properties" xmlns:vt="http://schemas.openxmlformats.org/officeDocument/2006/docPropsVTypes"/>
</file>