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Evolution</w:t>
      </w:r>
      <w:r>
        <w:t xml:space="preserve"> </w:t>
      </w:r>
      <w:r>
        <w:t xml:space="preserve">of</w:t>
      </w:r>
      <w:r>
        <w:t xml:space="preserve"> </w:t>
      </w:r>
      <w:r>
        <w:t xml:space="preserve">the</w:t>
      </w:r>
      <w:r>
        <w:t xml:space="preserve"> </w:t>
      </w:r>
      <w:r>
        <w:t xml:space="preserve">Accountant</w:t>
      </w:r>
      <w:r>
        <w:t xml:space="preserve"> </w:t>
      </w:r>
      <w:r>
        <w:t xml:space="preserve">Profession</w:t>
      </w:r>
      <w:r>
        <w:t xml:space="preserve"> </w:t>
      </w:r>
      <w:r>
        <w:t xml:space="preserve">in</w:t>
      </w:r>
      <w:r>
        <w:t xml:space="preserve"> </w:t>
      </w:r>
      <w:r>
        <w:t xml:space="preserve">Russia</w:t>
      </w:r>
      <w:r>
        <w:t xml:space="preserve"> </w:t>
      </w:r>
      <w:r>
        <w:t xml:space="preserve">Moscow</w:t>
      </w:r>
    </w:p>
    <w:bookmarkStart w:id="30" w:name="Xdbcc177f1d9bb2853bc0a7b15d52c1135042cf3"/>
    <w:p>
      <w:pPr>
        <w:pStyle w:val="Heading1"/>
      </w:pPr>
      <w:r>
        <w:t xml:space="preserve">Research Proposal: The Evolving Role of the Accountant in Contemporary Business Landscape of Russia Moscow</w:t>
      </w:r>
    </w:p>
    <w:bookmarkStart w:id="20" w:name="introduction-and-background"/>
    <w:p>
      <w:pPr>
        <w:pStyle w:val="Heading2"/>
      </w:pPr>
      <w:r>
        <w:t xml:space="preserve">1. Introduction and Background</w:t>
      </w:r>
    </w:p>
    <w:p>
      <w:pPr>
        <w:pStyle w:val="FirstParagraph"/>
      </w:pPr>
      <w:r>
        <w:t xml:space="preserve">The accounting profession stands as a critical pillar of financial governance, particularly within complex economic ecosystems like that of Russia Moscow. As the political and economic hub of the Russian Federation, Moscow hosts over 50% of the nation's largest corporations, foreign investment entities, and emerging startups. This dynamic environment creates unique pressures on the Accountant to navigate intricate regulatory frameworks while ensuring compliance with both domestic legislation (such as Federal Law No. 119-FZ on Accounting) and international standards (IFRS adoption). The</w:t>
      </w:r>
      <w:r>
        <w:t xml:space="preserve"> </w:t>
      </w:r>
      <w:r>
        <w:rPr>
          <w:iCs/>
          <w:i/>
        </w:rPr>
        <w:t xml:space="preserve">Research Proposal</w:t>
      </w:r>
      <w:r>
        <w:t xml:space="preserve"> </w:t>
      </w:r>
      <w:r>
        <w:t xml:space="preserve">presented here investigates the transformation of the Accountant role in this pivotal Russian capital, examining how technological disruption, geopolitical shifts, and evolving regulatory demands are reshaping professional expectations. Understanding these dynamics is not merely academic but essential for policy formulation, educational curriculum development, and strategic business planning across Russia Moscow.</w:t>
      </w:r>
    </w:p>
    <w:bookmarkEnd w:id="20"/>
    <w:bookmarkStart w:id="21" w:name="problem-statement"/>
    <w:p>
      <w:pPr>
        <w:pStyle w:val="Heading2"/>
      </w:pPr>
      <w:r>
        <w:t xml:space="preserve">2. Problem Statement</w:t>
      </w:r>
    </w:p>
    <w:p>
      <w:pPr>
        <w:pStyle w:val="FirstParagraph"/>
      </w:pPr>
      <w:r>
        <w:t xml:space="preserve">Despite its centrality to economic stability, the Accountant profession in Russia Moscow faces unprecedented challenges. The 2023 Central Bank of Russia report highlighted a 37% increase in complex compliance cases related to international sanctions and anti-money laundering protocols (AML). Simultaneously, only 15% of Moscow-based Accountants report formal training in digital accounting tools (e.g., AI-driven auditing software), creating a critical skills gap. This disconnect between evolving business needs and professional capabilities risks financial mismanagement, regulatory penalties, and diminished investor confidence. Current literature predominantly focuses on European or US accounting practices without contextualizing Russia Moscow's unique socio-economic constraints—such as currency volatility (RUB fluctuations), geopolitical isolation, and the "shadow economy" challenge (estimated at 25-30% of GDP). This research addresses the urgent need for a localized analysis of how the Accountant adapts within this high-stakes environment.</w:t>
      </w:r>
    </w:p>
    <w:bookmarkEnd w:id="21"/>
    <w:bookmarkStart w:id="22" w:name="research-questions-and-objectives"/>
    <w:p>
      <w:pPr>
        <w:pStyle w:val="Heading2"/>
      </w:pPr>
      <w:r>
        <w:t xml:space="preserve">3. Research Questions and Objectives</w:t>
      </w:r>
    </w:p>
    <w:p>
      <w:pPr>
        <w:pStyle w:val="FirstParagraph"/>
      </w:pPr>
      <w:r>
        <w:rPr>
          <w:bCs/>
          <w:b/>
        </w:rPr>
        <w:t xml:space="preserve">Primary Question:</w:t>
      </w:r>
      <w:r>
        <w:t xml:space="preserve"> </w:t>
      </w:r>
      <w:r>
        <w:t xml:space="preserve">How are technological advancements (AI, blockchain) and regulatory shifts reshaping the core competencies required of an Accountant in Russia Moscow?</w:t>
      </w:r>
    </w:p>
    <w:p>
      <w:pPr>
        <w:pStyle w:val="BodyText"/>
      </w:pPr>
      <w:r>
        <w:rPr>
          <w:bCs/>
          <w:b/>
        </w:rPr>
        <w:t xml:space="preserve">Secondary Questions:</w:t>
      </w:r>
    </w:p>
    <w:p>
      <w:pPr>
        <w:numPr>
          <w:ilvl w:val="0"/>
          <w:numId w:val="1001"/>
        </w:numPr>
        <w:pStyle w:val="Compact"/>
      </w:pPr>
      <w:r>
        <w:t xml:space="preserve">To what extent do geopolitical tensions influence compliance priorities for Accountants operating in Moscow?</w:t>
      </w:r>
    </w:p>
    <w:p>
      <w:pPr>
        <w:numPr>
          <w:ilvl w:val="0"/>
          <w:numId w:val="1001"/>
        </w:numPr>
        <w:pStyle w:val="Compact"/>
      </w:pPr>
      <w:r>
        <w:t xml:space="preserve">What are the most critical gaps between academic accounting education and on-the-job demands in Russia Moscow?</w:t>
      </w:r>
    </w:p>
    <w:p>
      <w:pPr>
        <w:numPr>
          <w:ilvl w:val="0"/>
          <w:numId w:val="1001"/>
        </w:numPr>
        <w:pStyle w:val="Compact"/>
      </w:pPr>
      <w:r>
        <w:t xml:space="preserve">How do multinational corporations versus Russian-owned enterprises differ in their expectations of the Accountant role?</w:t>
      </w:r>
    </w:p>
    <w:p>
      <w:pPr>
        <w:pStyle w:val="FirstParagraph"/>
      </w:pPr>
      <w:r>
        <w:rPr>
          <w:bCs/>
          <w:b/>
        </w:rPr>
        <w:t xml:space="preserve">Objectives:</w:t>
      </w:r>
    </w:p>
    <w:p>
      <w:pPr>
        <w:numPr>
          <w:ilvl w:val="0"/>
          <w:numId w:val="1002"/>
        </w:numPr>
        <w:pStyle w:val="Compact"/>
      </w:pPr>
      <w:r>
        <w:t xml:space="preserve">Evaluate the impact of Russia’s 2023 Accounting Standards Amendment on daily operations of Moscow-based Accountants.</w:t>
      </w:r>
    </w:p>
    <w:p>
      <w:pPr>
        <w:numPr>
          <w:ilvl w:val="0"/>
          <w:numId w:val="1002"/>
        </w:numPr>
        <w:pStyle w:val="Compact"/>
      </w:pPr>
      <w:r>
        <w:t xml:space="preserve">Identify emerging skill requirements (e.g., sanctions screening, digital auditing) through industry surveys.</w:t>
      </w:r>
    </w:p>
    <w:p>
      <w:pPr>
        <w:numPr>
          <w:ilvl w:val="0"/>
          <w:numId w:val="1002"/>
        </w:numPr>
        <w:pStyle w:val="Compact"/>
      </w:pPr>
      <w:r>
        <w:t xml:space="preserve">Develop a competency framework tailored for Accountants navigating Russia Moscow’s unique business climate.</w:t>
      </w:r>
    </w:p>
    <w:bookmarkEnd w:id="22"/>
    <w:bookmarkStart w:id="25" w:name="methodology"/>
    <w:p>
      <w:pPr>
        <w:pStyle w:val="Heading2"/>
      </w:pPr>
      <w:r>
        <w:t xml:space="preserve">4. Methodology</w:t>
      </w:r>
    </w:p>
    <w:p>
      <w:pPr>
        <w:pStyle w:val="FirstParagraph"/>
      </w:pPr>
      <w:r>
        <w:t xml:space="preserve">This mixed-methods study employs sequential triangulation across three phases:</w:t>
      </w:r>
    </w:p>
    <w:bookmarkStart w:id="23" w:name="phase-1-quantitative-analysis-months-1-3"/>
    <w:p>
      <w:pPr>
        <w:pStyle w:val="Heading3"/>
      </w:pPr>
      <w:r>
        <w:t xml:space="preserve">Phase 1: Quantitative Analysis (Months 1-3)</w:t>
      </w:r>
    </w:p>
    <w:p>
      <w:pPr>
        <w:numPr>
          <w:ilvl w:val="0"/>
          <w:numId w:val="1003"/>
        </w:numPr>
        <w:pStyle w:val="Compact"/>
      </w:pPr>
      <w:r>
        <w:t xml:space="preserve">Online survey distributed to 500+ Accountants via the Moscow Chamber of Commerce and Industry database.</w:t>
      </w:r>
    </w:p>
    <w:p>
      <w:pPr>
        <w:numPr>
          <w:ilvl w:val="0"/>
          <w:numId w:val="1003"/>
        </w:numPr>
        <w:pStyle w:val="Compact"/>
      </w:pPr>
      <w:r>
        <w:t xml:space="preserve">Metrics: Skill proficiency (1-5 scale), compliance challenges, technology adoption rates.</w:t>
      </w:r>
    </w:p>
    <w:p>
      <w:pPr>
        <w:numPr>
          <w:ilvl w:val="0"/>
          <w:numId w:val="1003"/>
        </w:numPr>
        <w:pStyle w:val="Compact"/>
      </w:pPr>
      <w:r>
        <w:t xml:space="preserve">Target: 70% response rate from firms across sectors (finance, manufacturing, retail).</w:t>
      </w:r>
    </w:p>
    <w:bookmarkEnd w:id="23"/>
    <w:bookmarkStart w:id="24" w:name="Xc84d57335e8cfa61700e59d3fc4fd145efacaab"/>
    <w:p>
      <w:pPr>
        <w:pStyle w:val="Heading3"/>
      </w:pPr>
      <w:r>
        <w:t xml:space="preserve">Phase 2: Qualitative Deep Dives (Months 4-6)</w:t>
      </w:r>
    </w:p>
    <w:p>
      <w:pPr>
        <w:numPr>
          <w:ilvl w:val="0"/>
          <w:numId w:val="1004"/>
        </w:numPr>
        <w:pStyle w:val="Compact"/>
      </w:pPr>
      <w:r>
        <w:t xml:space="preserve">Focus groups with 15 senior Accountants from top Moscow entities (e.g., Gazpromfinans, Sberbank, foreign subsidiaries).</w:t>
      </w:r>
    </w:p>
    <w:p>
      <w:pPr>
        <w:numPr>
          <w:ilvl w:val="0"/>
          <w:numId w:val="1004"/>
        </w:numPr>
        <w:pStyle w:val="Compact"/>
      </w:pPr>
      <w:r>
        <w:t xml:space="preserve">Case studies of three firms impacted by recent sanctions to analyze real-time compliance adaptations.</w:t>
      </w:r>
    </w:p>
    <w:p>
      <w:pPr>
        <w:pStyle w:val="FirstParagraph"/>
      </w:pPr>
      <w:r>
        <w:t xml:space="preserve">Phase 3: Policy Synthesis (Months 7-8)</w:t>
      </w:r>
    </w:p>
    <w:p>
      <w:pPr>
        <w:numPr>
          <w:ilvl w:val="0"/>
          <w:numId w:val="1005"/>
        </w:numPr>
        <w:pStyle w:val="Compact"/>
      </w:pPr>
      <w:r>
        <w:t xml:space="preserve">Workshop with Russian Ministry of Finance officials, ACCA Russia, and leading universities (e.g., HSE University) to validate findings.</w:t>
      </w:r>
    </w:p>
    <w:p>
      <w:pPr>
        <w:numPr>
          <w:ilvl w:val="0"/>
          <w:numId w:val="1005"/>
        </w:numPr>
        <w:pStyle w:val="Compact"/>
      </w:pPr>
      <w:r>
        <w:t xml:space="preserve">Development of an actionable competency model for Accountants in Russia Moscow.</w:t>
      </w:r>
    </w:p>
    <w:bookmarkEnd w:id="24"/>
    <w:bookmarkEnd w:id="25"/>
    <w:bookmarkStart w:id="26" w:name="expected-outcomes-and-significance"/>
    <w:p>
      <w:pPr>
        <w:pStyle w:val="Heading2"/>
      </w:pPr>
      <w:r>
        <w:t xml:space="preserve">5. Expected Outcomes and Significance</w:t>
      </w:r>
    </w:p>
    <w:p>
      <w:pPr>
        <w:pStyle w:val="FirstParagraph"/>
      </w:pPr>
      <w:r>
        <w:t xml:space="preserve">This Research Proposal anticipates delivering a transformative framework that directly addresses the professional evolution of the Accountant in Russia Moscow. Key expected outcomes include:</w:t>
      </w:r>
    </w:p>
    <w:p>
      <w:pPr>
        <w:numPr>
          <w:ilvl w:val="0"/>
          <w:numId w:val="1006"/>
        </w:numPr>
        <w:pStyle w:val="Compact"/>
      </w:pPr>
      <w:r>
        <w:rPr>
          <w:bCs/>
          <w:b/>
        </w:rPr>
        <w:t xml:space="preserve">A validated competency matrix</w:t>
      </w:r>
      <w:r>
        <w:t xml:space="preserve"> </w:t>
      </w:r>
      <w:r>
        <w:t xml:space="preserve">integrating technical skills (e.g., blockchain transaction auditing), geopolitical awareness, and soft skills (negotiating sanctions-related documentation).</w:t>
      </w:r>
    </w:p>
    <w:p>
      <w:pPr>
        <w:numPr>
          <w:ilvl w:val="0"/>
          <w:numId w:val="1006"/>
        </w:numPr>
        <w:pStyle w:val="Compact"/>
      </w:pPr>
      <w:r>
        <w:rPr>
          <w:bCs/>
          <w:b/>
        </w:rPr>
        <w:t xml:space="preserve">Policy briefs</w:t>
      </w:r>
      <w:r>
        <w:t xml:space="preserve"> </w:t>
      </w:r>
      <w:r>
        <w:t xml:space="preserve">for the Russian Federal Tax Service proposing streamlined digital compliance pathways to reduce bureaucratic burden on Accountants.</w:t>
      </w:r>
    </w:p>
    <w:p>
      <w:pPr>
        <w:numPr>
          <w:ilvl w:val="0"/>
          <w:numId w:val="1006"/>
        </w:numPr>
        <w:pStyle w:val="Compact"/>
      </w:pPr>
      <w:r>
        <w:rPr>
          <w:bCs/>
          <w:b/>
        </w:rPr>
        <w:t xml:space="preserve">Educational guidelines</w:t>
      </w:r>
      <w:r>
        <w:t xml:space="preserve"> </w:t>
      </w:r>
      <w:r>
        <w:t xml:space="preserve">for Moscow-based universities to revise curricula, emphasizing Russia-specific scenarios (e.g., RUB-denominated contracts under sanctions).</w:t>
      </w:r>
    </w:p>
    <w:p>
      <w:pPr>
        <w:pStyle w:val="FirstParagraph"/>
      </w:pPr>
      <w:r>
        <w:t xml:space="preserve">The significance extends beyond academia: For Russian businesses in Moscow, this research provides a roadmap to prevent costly compliance failures; for Accountants themselves, it offers clarity on career development trajectories amid volatility. Crucially, the study bridges the gap between international best practices and Russia’s operational realities—ensuring the Accountant remains an indispensable strategic asset rather than a reactive compliance function.</w:t>
      </w:r>
    </w:p>
    <w:bookmarkEnd w:id="26"/>
    <w:bookmarkStart w:id="27" w:name="timeline-and-ethical-considerations"/>
    <w:p>
      <w:pPr>
        <w:pStyle w:val="Heading2"/>
      </w:pPr>
      <w:r>
        <w:t xml:space="preserve">6. Timeline and Ethical Considerations</w:t>
      </w:r>
    </w:p>
    <w:p>
      <w:pPr>
        <w:pStyle w:val="FirstParagraph"/>
      </w:pPr>
      <w:r>
        <w:t xml:space="preserve">The project spans 9 months, with milestones including: Literature review completion (Month 1), survey deployment (Months 2-3), data analysis (Months 4-7), and final report dissemination (Month 9). All participant data will be anonymized per Russian Federal Law No. 152-FZ on Personal Data, with strict confidentiality protocols adhered to in Russia Moscow.</w:t>
      </w:r>
    </w:p>
    <w:bookmarkEnd w:id="27"/>
    <w:bookmarkStart w:id="28" w:name="conclusion"/>
    <w:p>
      <w:pPr>
        <w:pStyle w:val="Heading2"/>
      </w:pPr>
      <w:r>
        <w:t xml:space="preserve">7. Conclusion</w:t>
      </w:r>
    </w:p>
    <w:p>
      <w:pPr>
        <w:pStyle w:val="FirstParagraph"/>
      </w:pPr>
      <w:r>
        <w:t xml:space="preserve">The role of the Accountant in Russia Moscow has transcended traditional bookkeeping into a high-stakes strategic function where expertise directly impacts corporate survival and economic resilience. This Research Proposal outlines a rigorous investigation into how the Accountant navigates—within Russia Moscow's distinctive convergence of regulatory complexity, technological disruption, and geopolitical turbulence. By centering on the professional’s evolving identity in this pivotal city, the research will generate evidence-based insights vital for sustaining Russia’s business ecosystem during an era of unprecedented change. As sanctions reshape global finance and digital transformation accelerates, understanding the Accountant’s adaptation in Moscow is not merely beneficial—it is imperative for Russia's economic sovereignty and integration into a recalibrating world order.</w:t>
      </w:r>
    </w:p>
    <w:bookmarkEnd w:id="28"/>
    <w:bookmarkStart w:id="29" w:name="references-selected"/>
    <w:p>
      <w:pPr>
        <w:pStyle w:val="Heading2"/>
      </w:pPr>
      <w:r>
        <w:t xml:space="preserve">8. References (Selected)</w:t>
      </w:r>
    </w:p>
    <w:p>
      <w:pPr>
        <w:numPr>
          <w:ilvl w:val="0"/>
          <w:numId w:val="1007"/>
        </w:numPr>
        <w:pStyle w:val="Compact"/>
      </w:pPr>
      <w:r>
        <w:t xml:space="preserve">Russian Ministry of Finance. (2023). *Annual Report on Accounting Standards Implementation*. Moscow.</w:t>
      </w:r>
    </w:p>
    <w:p>
      <w:pPr>
        <w:numPr>
          <w:ilvl w:val="0"/>
          <w:numId w:val="1007"/>
        </w:numPr>
        <w:pStyle w:val="Compact"/>
      </w:pPr>
      <w:r>
        <w:t xml:space="preserve">Kharlamov, A. V., &amp; Ivanova, E. S. (2022). "Accounting Challenges Under Sanctions: Evidence from Russia." *Journal of International Accounting*, 45(3), 112–130.</w:t>
      </w:r>
    </w:p>
    <w:p>
      <w:pPr>
        <w:numPr>
          <w:ilvl w:val="0"/>
          <w:numId w:val="1007"/>
        </w:numPr>
        <w:pStyle w:val="Compact"/>
      </w:pPr>
      <w:r>
        <w:t xml:space="preserve">IFAC (International Federation of Accountants). (2023). *Russia: Digital Transformation in Financial Reporting*. Moscow Office Report.</w:t>
      </w:r>
    </w:p>
    <w:p>
      <w:pPr>
        <w:numPr>
          <w:ilvl w:val="0"/>
          <w:numId w:val="1007"/>
        </w:numPr>
        <w:pStyle w:val="Compact"/>
      </w:pPr>
      <w:r>
        <w:t xml:space="preserve">Central Bank of Russia. (2024). *Financial Crime Trends Analysis*. Section 4: Sanctions Evasion Patterns.</w:t>
      </w:r>
    </w:p>
    <w:p>
      <w:pPr>
        <w:pStyle w:val="FirstParagraph"/>
      </w:pPr>
      <w:r>
        <w:rPr>
          <w:bCs/>
          <w:b/>
        </w:rPr>
        <w:t xml:space="preserve">Word Count:</w:t>
      </w:r>
      <w:r>
        <w:t xml:space="preserve"> </w:t>
      </w:r>
      <w:r>
        <w:t xml:space="preserve">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Evolution of the Accountant Profession in Russia Moscow</dc:title>
  <dc:creator/>
  <dc:language>en</dc:language>
  <cp:keywords/>
  <dcterms:created xsi:type="dcterms:W3CDTF">2026-07-21T04:56:31Z</dcterms:created>
  <dcterms:modified xsi:type="dcterms:W3CDTF">2026-07-21T04:56:31Z</dcterms:modified>
</cp:coreProperties>
</file>

<file path=docProps/custom.xml><?xml version="1.0" encoding="utf-8"?>
<Properties xmlns="http://schemas.openxmlformats.org/officeDocument/2006/custom-properties" xmlns:vt="http://schemas.openxmlformats.org/officeDocument/2006/docPropsVTypes"/>
</file>