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Singapore's</w:t>
      </w:r>
      <w:r>
        <w:t xml:space="preserve"> </w:t>
      </w:r>
      <w:r>
        <w:t xml:space="preserve">Dynamic</w:t>
      </w:r>
      <w:r>
        <w:t xml:space="preserve"> </w:t>
      </w:r>
      <w:r>
        <w:t xml:space="preserve">Economic</w:t>
      </w:r>
      <w:r>
        <w:t xml:space="preserve"> </w:t>
      </w:r>
      <w:r>
        <w:t xml:space="preserve">Landscape</w:t>
      </w:r>
    </w:p>
    <w:bookmarkStart w:id="28" w:name="Xbfcedf641fd3164d3e0fe8424c9a5e2906f6d99"/>
    <w:p>
      <w:pPr>
        <w:pStyle w:val="Heading1"/>
      </w:pPr>
      <w:r>
        <w:t xml:space="preserve">Research Proposal: The Evolving Role of Accountants in Singapore's Dynamic Economic Landscape</w:t>
      </w:r>
    </w:p>
    <w:bookmarkStart w:id="20" w:name="introduction"/>
    <w:p>
      <w:pPr>
        <w:pStyle w:val="Heading2"/>
      </w:pPr>
      <w:r>
        <w:t xml:space="preserve">Introduction</w:t>
      </w:r>
    </w:p>
    <w:p>
      <w:pPr>
        <w:pStyle w:val="FirstParagraph"/>
      </w:pPr>
      <w:r>
        <w:t xml:space="preserve">In the heart of Southeast Asia, Singapore stands as a global financial hub with a sophisticated economy demanding exceptional accounting expertise. As the nation navigates digital transformation, regulatory shifts, and economic diversification, the role of the Accountant in Singapore has transcended traditional bookkeeping to become a strategic business partner. This research proposal addresses an urgent need to understand how Accountants in Singapore are adapting to emerging challenges—including AI integration, sustainability reporting mandates (like SGX’s ESG requirements), and post-pandemic fiscal policies—while maintaining Singapore's reputation for financial integrity. With over 52,000 registered Accountants practicing across multinational corporations, SMEs, and government agencies in Singapore, this study is not merely academic but critically urgent for national economic resilience. The research will specifically investigate how Accountant professionals in Singapore are evolving their skill sets to meet Singapore’s unique regulatory ecosystem and global competitiveness demands.</w:t>
      </w:r>
    </w:p>
    <w:bookmarkEnd w:id="20"/>
    <w:bookmarkStart w:id="21" w:name="literature-review"/>
    <w:p>
      <w:pPr>
        <w:pStyle w:val="Heading2"/>
      </w:pPr>
      <w:r>
        <w:t xml:space="preserve">Literature Review</w:t>
      </w:r>
    </w:p>
    <w:p>
      <w:pPr>
        <w:pStyle w:val="FirstParagraph"/>
      </w:pPr>
      <w:r>
        <w:t xml:space="preserve">Existing studies on accounting professions primarily focus on Western contexts (e.g., US GAAP or UK regulations), creating a significant gap in region-specific insights. While the Institute of Singapore Chartered Accountants (ISCA) has published reports on digital adoption, they lack granular analysis of operational challenges faced by Accountants in Singapore’s distinct environment. Recent work by Tan and Lee (2023) highlights AI’s impact on accounting tasks but overlooks Singapore’s mandatory sustainability disclosures under the Financial Conduct Authority (FCA) framework. Meanwhile, studies from the National University of Singapore (NUS) emphasize skills gaps in digital literacy among Accountants in Singapore, yet fail to link this to tangible business outcomes. Crucially, no comprehensive research has examined how Accountant roles intersect with Singapore’s Economic Development Board (EDB) initiatives or the Smart Nation movement. This proposal fills that void by centering the research on Singapore’s specific economic policies and professional standards.</w:t>
      </w:r>
    </w:p>
    <w:bookmarkEnd w:id="21"/>
    <w:bookmarkStart w:id="22" w:name="research-questions"/>
    <w:p>
      <w:pPr>
        <w:pStyle w:val="Heading2"/>
      </w:pPr>
      <w:r>
        <w:t xml:space="preserve">Research Questions</w:t>
      </w:r>
    </w:p>
    <w:p>
      <w:pPr>
        <w:pStyle w:val="FirstParagraph"/>
      </w:pPr>
      <w:r>
        <w:t xml:space="preserve">This study will address three core questions:</w:t>
      </w:r>
    </w:p>
    <w:p>
      <w:pPr>
        <w:numPr>
          <w:ilvl w:val="0"/>
          <w:numId w:val="1001"/>
        </w:numPr>
        <w:pStyle w:val="Compact"/>
      </w:pPr>
      <w:r>
        <w:t xml:space="preserve">How are Accountants in Singapore adapting their competencies to comply with evolving regulatory frameworks, including Singapore’s Corporate Sustainability Reporting Directive (CSRD) and MAS Notice 626?</w:t>
      </w:r>
    </w:p>
    <w:p>
      <w:pPr>
        <w:numPr>
          <w:ilvl w:val="0"/>
          <w:numId w:val="1001"/>
        </w:numPr>
        <w:pStyle w:val="Compact"/>
      </w:pPr>
      <w:r>
        <w:t xml:space="preserve">To what extent does digital transformation (e.g., AI-driven audit tools, blockchain for tax compliance) enhance or disrupt traditional accounting workflows within Singaporean firms?</w:t>
      </w:r>
    </w:p>
    <w:p>
      <w:pPr>
        <w:numPr>
          <w:ilvl w:val="0"/>
          <w:numId w:val="1001"/>
        </w:numPr>
        <w:pStyle w:val="Compact"/>
      </w:pPr>
      <w:r>
        <w:t xml:space="preserve">What strategic value do Accountants in Singapore contribute to business decision-making during economic volatility, and how is this perceived by leadership in the Singapore context?</w:t>
      </w:r>
    </w:p>
    <w:bookmarkEnd w:id="22"/>
    <w:bookmarkStart w:id="23" w:name="methodology"/>
    <w:p>
      <w:pPr>
        <w:pStyle w:val="Heading2"/>
      </w:pPr>
      <w:r>
        <w:t xml:space="preserve">Methodology</w:t>
      </w:r>
    </w:p>
    <w:p>
      <w:pPr>
        <w:pStyle w:val="FirstParagraph"/>
      </w:pPr>
      <w:r>
        <w:t xml:space="preserve">A mixed-methods approach will be employed, uniquely tailored to the Singaporean setting:</w:t>
      </w:r>
    </w:p>
    <w:p>
      <w:pPr>
        <w:numPr>
          <w:ilvl w:val="0"/>
          <w:numId w:val="1002"/>
        </w:numPr>
        <w:pStyle w:val="Compact"/>
      </w:pPr>
      <w:r>
        <w:rPr>
          <w:bCs/>
          <w:b/>
        </w:rPr>
        <w:t xml:space="preserve">Quantitative Phase:</w:t>
      </w:r>
      <w:r>
        <w:t xml:space="preserve"> </w:t>
      </w:r>
      <w:r>
        <w:t xml:space="preserve">Survey of 300 Accountants across 50 Singapore-based organizations (including top 10 EDB-approved firms and SMEs) using ISCA’s professional network. The survey will measure skill adoption rates, regulatory compliance challenges, and perceived strategic impact using Likert-scale questions aligned with Singapore’s Accounting and Corporate Regulatory Authority (ACRA) standards.</w:t>
      </w:r>
    </w:p>
    <w:p>
      <w:pPr>
        <w:numPr>
          <w:ilvl w:val="0"/>
          <w:numId w:val="1002"/>
        </w:numPr>
        <w:pStyle w:val="Compact"/>
      </w:pPr>
      <w:r>
        <w:rPr>
          <w:bCs/>
          <w:b/>
        </w:rPr>
        <w:t xml:space="preserve">Qualitative Phase:</w:t>
      </w:r>
      <w:r>
        <w:t xml:space="preserve"> </w:t>
      </w:r>
      <w:r>
        <w:t xml:space="preserve">In-depth interviews with 30 senior Accountants (including 10 from multinational HQs in Singapore) and 15 business leaders at Singapore-based firms. Interviews will explore narratives around digital transformation hurdles, ESG reporting pressures, and alignment with Singapore’s National AI Strategy.</w:t>
      </w:r>
    </w:p>
    <w:p>
      <w:pPr>
        <w:numPr>
          <w:ilvl w:val="0"/>
          <w:numId w:val="1002"/>
        </w:numPr>
        <w:pStyle w:val="Compact"/>
      </w:pPr>
      <w:r>
        <w:rPr>
          <w:bCs/>
          <w:b/>
        </w:rPr>
        <w:t xml:space="preserve">Data Integration:</w:t>
      </w:r>
      <w:r>
        <w:t xml:space="preserve"> </w:t>
      </w:r>
      <w:r>
        <w:t xml:space="preserve">All data will be analyzed through the lens of Singapore’s economic policies—such as the SkillsFuture initiative for Accountant upskilling—and compared against global benchmarks to isolate uniquely Singaporean challenges.</w:t>
      </w:r>
    </w:p>
    <w:p>
      <w:pPr>
        <w:pStyle w:val="FirstParagraph"/>
      </w:pPr>
      <w:r>
        <w:t xml:space="preserve">The study adheres to Singapore’s Personal Data Protection Act (PDPA) and ethical protocols approved by NUS’ Institutional Review Board.</w:t>
      </w:r>
    </w:p>
    <w:bookmarkEnd w:id="23"/>
    <w:bookmarkStart w:id="24" w:name="expected-outcomes-and-significance"/>
    <w:p>
      <w:pPr>
        <w:pStyle w:val="Heading2"/>
      </w:pPr>
      <w:r>
        <w:t xml:space="preserve">Expected Outcomes and Significance</w:t>
      </w:r>
    </w:p>
    <w:p>
      <w:pPr>
        <w:pStyle w:val="FirstParagraph"/>
      </w:pPr>
      <w:r>
        <w:t xml:space="preserve">This research will generate actionable insights for three key stakeholders in Singapore:</w:t>
      </w:r>
    </w:p>
    <w:p>
      <w:pPr>
        <w:numPr>
          <w:ilvl w:val="0"/>
          <w:numId w:val="1003"/>
        </w:numPr>
        <w:pStyle w:val="Compact"/>
      </w:pPr>
      <w:r>
        <w:rPr>
          <w:bCs/>
          <w:b/>
        </w:rPr>
        <w:t xml:space="preserve">Accountants &amp; ISCA:</w:t>
      </w:r>
      <w:r>
        <w:t xml:space="preserve"> </w:t>
      </w:r>
      <w:r>
        <w:t xml:space="preserve">A competency framework identifying critical skills (e.g., data analytics, sustainability assurance) needed to thrive in Singapore’s 2025 regulatory landscape, directly informing ISCA’s Continuing Professional Development (CPD) programs.</w:t>
      </w:r>
    </w:p>
    <w:p>
      <w:pPr>
        <w:numPr>
          <w:ilvl w:val="0"/>
          <w:numId w:val="1003"/>
        </w:numPr>
        <w:pStyle w:val="Compact"/>
      </w:pPr>
      <w:r>
        <w:rPr>
          <w:bCs/>
          <w:b/>
        </w:rPr>
        <w:t xml:space="preserve">Businesses &amp; EDB:</w:t>
      </w:r>
      <w:r>
        <w:t xml:space="preserve"> </w:t>
      </w:r>
      <w:r>
        <w:t xml:space="preserve">Evidence-based strategies for integrating Accountant roles into strategic planning, supporting Singapore’s goal of becoming a "Smart Nation" where finance functions drive innovation. For example, findings may reveal how proactive Accountants in Singapore reduced compliance costs by 25% through AI tools.</w:t>
      </w:r>
    </w:p>
    <w:p>
      <w:pPr>
        <w:numPr>
          <w:ilvl w:val="0"/>
          <w:numId w:val="1003"/>
        </w:numPr>
        <w:pStyle w:val="Compact"/>
      </w:pPr>
      <w:r>
        <w:rPr>
          <w:bCs/>
          <w:b/>
        </w:rPr>
        <w:t xml:space="preserve">Government &amp; Regulators:</w:t>
      </w:r>
      <w:r>
        <w:t xml:space="preserve"> </w:t>
      </w:r>
      <w:r>
        <w:t xml:space="preserve">Policy recommendations for MAS and ACRA to streamline reporting requirements without compromising Singapore’s global standing as a trusted financial center. This includes assessing the impact of Singapore’s proposed Tax Digitalization Roadmap on Accountant workflows.</w:t>
      </w:r>
    </w:p>
    <w:p>
      <w:pPr>
        <w:pStyle w:val="FirstParagraph"/>
      </w:pPr>
      <w:r>
        <w:t xml:space="preserve">The study will culminate in a public report published by ISCA, ensuring its relevance to Singapore’s professional ecosystem. Crucially, it will position the Accountant not as a compliance officer but as a strategic asset for Singapore’s economic growth—addressing the nation’s 2030 Vision of "Sustainable Growth" through financial excellence.</w:t>
      </w:r>
    </w:p>
    <w:bookmarkEnd w:id="24"/>
    <w:bookmarkStart w:id="25" w:name="timeline-and-budget"/>
    <w:p>
      <w:pPr>
        <w:pStyle w:val="Heading2"/>
      </w:pPr>
      <w:r>
        <w:t xml:space="preserve">Timeline and Budget</w:t>
      </w:r>
    </w:p>
    <w:p>
      <w:pPr>
        <w:pStyle w:val="FirstParagraph"/>
      </w:pPr>
      <w:r>
        <w:rPr>
          <w:bCs/>
          <w:b/>
        </w:rPr>
        <w:t xml:space="preserve">Timeline (8 months):</w:t>
      </w:r>
    </w:p>
    <w:p>
      <w:pPr>
        <w:numPr>
          <w:ilvl w:val="0"/>
          <w:numId w:val="1004"/>
        </w:numPr>
        <w:pStyle w:val="Compact"/>
      </w:pPr>
      <w:r>
        <w:rPr>
          <w:iCs/>
          <w:i/>
        </w:rPr>
        <w:t xml:space="preserve">Months 1–2:</w:t>
      </w:r>
      <w:r>
        <w:t xml:space="preserve"> </w:t>
      </w:r>
      <w:r>
        <w:t xml:space="preserve">Finalize survey instruments; secure ethics approvals from NUS and ISCA.</w:t>
      </w:r>
    </w:p>
    <w:p>
      <w:pPr>
        <w:numPr>
          <w:ilvl w:val="0"/>
          <w:numId w:val="1004"/>
        </w:numPr>
        <w:pStyle w:val="Compact"/>
      </w:pPr>
      <w:r>
        <w:rPr>
          <w:iCs/>
          <w:i/>
        </w:rPr>
        <w:t xml:space="preserve">Months 3–4:</w:t>
      </w:r>
      <w:r>
        <w:t xml:space="preserve"> </w:t>
      </w:r>
      <w:r>
        <w:t xml:space="preserve">Deploy quantitative survey across Singapore organizations; conduct pilot interviews.</w:t>
      </w:r>
    </w:p>
    <w:p>
      <w:pPr>
        <w:numPr>
          <w:ilvl w:val="0"/>
          <w:numId w:val="1004"/>
        </w:numPr>
        <w:pStyle w:val="Compact"/>
      </w:pPr>
      <w:r>
        <w:rPr>
          <w:iCs/>
          <w:i/>
        </w:rPr>
        <w:t xml:space="preserve">Months 5–6:</w:t>
      </w:r>
      <w:r>
        <w:t xml:space="preserve"> </w:t>
      </w:r>
      <w:r>
        <w:t xml:space="preserve">Full qualitative interviews with Accountants and business leaders in Singapore.</w:t>
      </w:r>
    </w:p>
    <w:p>
      <w:pPr>
        <w:numPr>
          <w:ilvl w:val="0"/>
          <w:numId w:val="1004"/>
        </w:numPr>
        <w:pStyle w:val="Compact"/>
      </w:pPr>
      <w:r>
        <w:rPr>
          <w:iCs/>
          <w:i/>
        </w:rPr>
        <w:t xml:space="preserve">Month 7:</w:t>
      </w:r>
      <w:r>
        <w:t xml:space="preserve"> </w:t>
      </w:r>
      <w:r>
        <w:t xml:space="preserve">Data analysis; draft report with case studies from Singapore firms.</w:t>
      </w:r>
    </w:p>
    <w:p>
      <w:pPr>
        <w:numPr>
          <w:ilvl w:val="0"/>
          <w:numId w:val="1004"/>
        </w:numPr>
        <w:pStyle w:val="Compact"/>
      </w:pPr>
      <w:r>
        <w:rPr>
          <w:iCs/>
          <w:i/>
        </w:rPr>
        <w:t xml:space="preserve">Month 8:</w:t>
      </w:r>
      <w:r>
        <w:t xml:space="preserve"> </w:t>
      </w:r>
      <w:r>
        <w:t xml:space="preserve">Stakeholder workshop in Singapore; finalize publication for ISCA distribution.</w:t>
      </w:r>
    </w:p>
    <w:p>
      <w:pPr>
        <w:pStyle w:val="FirstParagraph"/>
      </w:pPr>
      <w:r>
        <w:rPr>
          <w:bCs/>
          <w:b/>
        </w:rPr>
        <w:t xml:space="preserve">Budget (SGD 125,000):</w:t>
      </w:r>
      <w:r>
        <w:t xml:space="preserve"> </w:t>
      </w:r>
      <w:r>
        <w:t xml:space="preserve">Funds will cover researcher salaries (65%), survey platform licensing (15%), transcription services for interviews (12%), and stakeholder workshop costs in Singapore (8%). The budget is aligned with Singapore’s Research, Innovation and Enterprise 2025 plan.</w:t>
      </w:r>
    </w:p>
    <w:bookmarkEnd w:id="25"/>
    <w:bookmarkStart w:id="26" w:name="conclusion"/>
    <w:p>
      <w:pPr>
        <w:pStyle w:val="Heading2"/>
      </w:pPr>
      <w:r>
        <w:t xml:space="preserve">Conclusion</w:t>
      </w:r>
    </w:p>
    <w:p>
      <w:pPr>
        <w:pStyle w:val="FirstParagraph"/>
      </w:pPr>
      <w:r>
        <w:t xml:space="preserve">The Accountant in Singapore is no longer confined to ledger pages; they are pivotal to the nation’s economic agility. This research directly responds to Singapore’s strategic imperatives by investigating how Accountants navigate its complex regulatory tapestry while driving innovation. By grounding the study exclusively in Singapore—leveraging local data, policies, and professional bodies—the proposal ensures relevance for a nation where 40% of global financial institutions maintain regional headquarters. Ultimately, this work will empower Accountants in Singapore to transition from reactive processors to proactive architects of sustainable business growth, reinforcing Singapore’s status as a world-class financial hub. The findings will be disseminated via ISCA channels and national platforms like the Ministry of Trade and Industry (MTI), ensuring maximum impact for Singapore’s accounting profession.</w:t>
      </w:r>
    </w:p>
    <w:bookmarkEnd w:id="26"/>
    <w:bookmarkStart w:id="27" w:name="references"/>
    <w:p>
      <w:pPr>
        <w:pStyle w:val="Heading2"/>
      </w:pPr>
      <w:r>
        <w:t xml:space="preserve">References</w:t>
      </w:r>
    </w:p>
    <w:p>
      <w:pPr>
        <w:numPr>
          <w:ilvl w:val="0"/>
          <w:numId w:val="1005"/>
        </w:numPr>
        <w:pStyle w:val="Compact"/>
      </w:pPr>
      <w:r>
        <w:t xml:space="preserve">Institute of Singapore Chartered Accountants (ISCA). (2023). *Digital Transformation in Accounting: A Singapore Perspective*. ISCA Publications.</w:t>
      </w:r>
    </w:p>
    <w:p>
      <w:pPr>
        <w:numPr>
          <w:ilvl w:val="0"/>
          <w:numId w:val="1005"/>
        </w:numPr>
        <w:pStyle w:val="Compact"/>
      </w:pPr>
      <w:r>
        <w:t xml:space="preserve">Tan, L., &amp; Lee, K. (2023). AI Adoption in Asian Accounting Firms: Challenges and Opportunities. *Journal of Southeast Asian Finance*, 14(2), 45–67.</w:t>
      </w:r>
    </w:p>
    <w:p>
      <w:pPr>
        <w:numPr>
          <w:ilvl w:val="0"/>
          <w:numId w:val="1005"/>
        </w:numPr>
        <w:pStyle w:val="Compact"/>
      </w:pPr>
      <w:r>
        <w:t xml:space="preserve">Monetary Authority of Singapore (MAS). (2023). *Notice 626: Cyber Resilience Requirements for Financial Institutions*.</w:t>
      </w:r>
    </w:p>
    <w:p>
      <w:pPr>
        <w:numPr>
          <w:ilvl w:val="0"/>
          <w:numId w:val="1005"/>
        </w:numPr>
        <w:pStyle w:val="Compact"/>
      </w:pPr>
      <w:r>
        <w:t xml:space="preserve">National University of Singapore. (2023). *Skills Gap Analysis in Singapore’s Finance Sector*. NUS Business School Research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Singapore's Dynamic Economic Landscape</dc:title>
  <dc:creator/>
  <dc:language>en</dc:language>
  <cp:keywords/>
  <dcterms:created xsi:type="dcterms:W3CDTF">2026-07-21T10:40:59Z</dcterms:created>
  <dcterms:modified xsi:type="dcterms:W3CDTF">2026-07-21T10:40:59Z</dcterms:modified>
</cp:coreProperties>
</file>

<file path=docProps/custom.xml><?xml version="1.0" encoding="utf-8"?>
<Properties xmlns="http://schemas.openxmlformats.org/officeDocument/2006/custom-properties" xmlns:vt="http://schemas.openxmlformats.org/officeDocument/2006/docPropsVTypes"/>
</file>