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Practices</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Madrid</w:t>
      </w:r>
    </w:p>
    <w:bookmarkStart w:id="29" w:name="Xb14ac1e7129ac6163755986307cd9d0d69dfa99"/>
    <w:p>
      <w:pPr>
        <w:pStyle w:val="Heading1"/>
      </w:pPr>
      <w:r>
        <w:t xml:space="preserve">Research Proposal: Advancing Professional Practices of Accountants in Spain Madrid Through Regulatory Compliance and Digital Transformation</w:t>
      </w:r>
    </w:p>
    <w:bookmarkStart w:id="20" w:name="introduction-and-background"/>
    <w:p>
      <w:pPr>
        <w:pStyle w:val="Heading2"/>
      </w:pPr>
      <w:r>
        <w:t xml:space="preserve">1. Introduction and Background</w:t>
      </w:r>
    </w:p>
    <w:p>
      <w:pPr>
        <w:pStyle w:val="FirstParagraph"/>
      </w:pPr>
      <w:r>
        <w:t xml:space="preserve">The accounting profession in Spain Madrid occupies a pivotal role within the nation's economic ecosystem, serving as the backbone for corporate governance, financial reporting, and fiscal compliance. As Europe's fourth-largest economy with Madrid as its undisputed financial capital housing 70% of Spain's Fortune 500 companies and major multinational headquarters, the demand for highly skilled Accountants has surged. However, this growth coincides with unprecedented regulatory complexity driven by EU directives (e.g., DAC7, CSRD), evolving Spanish accounting standards (Normas de Contabilidad General), and digital transformation pressures. This Research Proposal addresses a critical gap: the disconnect between traditional accounting practices in Madrid's firms and the emerging requirements of real-time financial oversight, sustainability reporting, and AI-driven analytics. Our study will investigate how Accountants in Spain Madrid can strategically adapt to these shifts while maintaining adherence to the Spanish Tax Agency (Agencia Tributaria) and Institute of Accounting and Auditing Standards (ICAC) frameworks.</w:t>
      </w:r>
    </w:p>
    <w:bookmarkEnd w:id="20"/>
    <w:bookmarkStart w:id="21" w:name="problem-statement"/>
    <w:p>
      <w:pPr>
        <w:pStyle w:val="Heading2"/>
      </w:pPr>
      <w:r>
        <w:t xml:space="preserve">2. Problem Statement</w:t>
      </w:r>
    </w:p>
    <w:p>
      <w:pPr>
        <w:pStyle w:val="FirstParagraph"/>
      </w:pPr>
      <w:r>
        <w:t xml:space="preserve">Despite Madrid's status as a European financial hub, Accountants face mounting challenges that threaten professional efficacy. Current industry surveys indicate 68% of accounting firms in Spain Madrid report significant inefficiencies in compliance with recent Royal Decree-Law 13/2021 (on digital reporting) and the EU Taxonomy Regulation. Furthermore, only 35% of Accountants utilize AI tools for predictive financial analysis—compared to 72% in London or Frankfurt—due to fragmented training systems and resistance to change within traditional Spanish accounting culture. This gap manifests in three critical areas: (1) delayed tax filings affecting SMEs' cash flow; (2) inadequate sustainability reporting causing reputational risks for Madrid-based multinational corporations; and (3) declining professional satisfaction linked to outdated workflows. Without evidence-based interventions, these issues will impede Spain's integration into the European Green Deal and Digital Single Market initiatives.</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compliance burden faced by Accountants in Spain Madrid across 2023–2024, focusing on Tax Agency updates and NCG revisions.</w:t>
      </w:r>
    </w:p>
    <w:p>
      <w:pPr>
        <w:numPr>
          <w:ilvl w:val="0"/>
          <w:numId w:val="1001"/>
        </w:numPr>
        <w:pStyle w:val="Compact"/>
      </w:pPr>
      <w:r>
        <w:t xml:space="preserve">To evaluate the adoption barriers of digital tools (e.g., AI-driven accounting software, blockchain for audit trails) among Madrid-based accounting firms with 5–50 employees.</w:t>
      </w:r>
    </w:p>
    <w:p>
      <w:pPr>
        <w:numPr>
          <w:ilvl w:val="0"/>
          <w:numId w:val="1001"/>
        </w:numPr>
        <w:pStyle w:val="Compact"/>
      </w:pPr>
      <w:r>
        <w:t xml:space="preserve">To develop a validated framework for upskilling Accountants in sustainability reporting (CSRD) and real-time data analytics, tailored to Spanish legal contexts.</w:t>
      </w:r>
    </w:p>
    <w:p>
      <w:pPr>
        <w:numPr>
          <w:ilvl w:val="0"/>
          <w:numId w:val="1001"/>
        </w:numPr>
        <w:pStyle w:val="Compact"/>
      </w:pPr>
      <w:r>
        <w:t xml:space="preserve">To propose policy recommendations for the Order of Accountants (Colegio Oficial de Economistas de Madrid) and Spanish Ministry of Economic Affairs.</w:t>
      </w:r>
    </w:p>
    <w:bookmarkEnd w:id="22"/>
    <w:bookmarkStart w:id="23" w:name="Xddabae9d85c6f041a6754debb60bbfa567c4a7a"/>
    <w:p>
      <w:pPr>
        <w:pStyle w:val="Heading2"/>
      </w:pPr>
      <w:r>
        <w:t xml:space="preserve">4. Literature Review: Contextualizing the Madrid Accounting Landscape</w:t>
      </w:r>
    </w:p>
    <w:p>
      <w:pPr>
        <w:pStyle w:val="FirstParagraph"/>
      </w:pPr>
      <w:r>
        <w:t xml:space="preserve">Existing studies (e.g., García &amp; López, 2022; OECD, 2023) highlight Spain's accounting sector as lagging in digital maturity despite robust regulatory foundations. A key oversight is the lack of localized research on Madrid-specific dynamics: its concentration of financial institutions (BBVA, Santander headquarters), proximity to EU policy centers in Brussels, and unique regional tax incentives (e.g., Madrid’s 30% R&amp;D deduction). Recent work by the Spanish Accounting Association (ASEPEJO) emphasizes that 80% of Accountants require mandatory training in ESG reporting under CSRD—yet only 15% of Madrid firms offer such programs. This disconnect between EU mandates and local capacity directly impacts Madrid's competitiveness, as evidenced by Deloitte’s 2023 report showing a 40% increase in multinational tax disputes originating from Spanish subsidiaries.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analysis of compliance data from Madrid's Tax Agency, comparing filing timelines (2020–2024) across sectors. Target: 5,000+ firm records via Spanish official databases.</w:t>
      </w:r>
    </w:p>
    <w:p>
      <w:pPr>
        <w:numPr>
          <w:ilvl w:val="0"/>
          <w:numId w:val="1002"/>
        </w:numPr>
        <w:pStyle w:val="Compact"/>
      </w:pPr>
      <w:r>
        <w:rPr>
          <w:bCs/>
          <w:b/>
        </w:rPr>
        <w:t xml:space="preserve">Phase 2 (Months 5–10):</w:t>
      </w:r>
      <w:r>
        <w:t xml:space="preserve"> </w:t>
      </w:r>
      <w:r>
        <w:t xml:space="preserve">Qualitative deep-dive with 36 Accountants through semi-structured interviews across Madrid’s districts (Chamartín, Salamanca, Moncloa), representing public/private firms and SMEs. Focus: Digital tool adoption challenges within ICAC guidelines.</w:t>
      </w:r>
    </w:p>
    <w:p>
      <w:pPr>
        <w:numPr>
          <w:ilvl w:val="0"/>
          <w:numId w:val="1002"/>
        </w:numPr>
        <w:pStyle w:val="Compact"/>
      </w:pPr>
      <w:r>
        <w:rPr>
          <w:bCs/>
          <w:b/>
        </w:rPr>
        <w:t xml:space="preserve">Phase 3 (Months 11–14):</w:t>
      </w:r>
      <w:r>
        <w:t xml:space="preserve"> </w:t>
      </w:r>
      <w:r>
        <w:t xml:space="preserve">Co-creation workshop with Colegio Oficial de Economistas de Madrid to design a pilot upskilling module on CSRD-AI integration, tested with 20 firms.</w:t>
      </w:r>
    </w:p>
    <w:p>
      <w:pPr>
        <w:numPr>
          <w:ilvl w:val="0"/>
          <w:numId w:val="1002"/>
        </w:numPr>
        <w:pStyle w:val="Compact"/>
      </w:pPr>
      <w:r>
        <w:rPr>
          <w:bCs/>
          <w:b/>
        </w:rPr>
        <w:t xml:space="preserve">Phase 4 (Months 15–18):</w:t>
      </w:r>
      <w:r>
        <w:t xml:space="preserve"> </w:t>
      </w:r>
      <w:r>
        <w:t xml:space="preserve">Statistical validation of the framework using pre/post-implementation metrics (e.g., reporting speed, compliance accuracy).</w:t>
      </w:r>
    </w:p>
    <w:p>
      <w:pPr>
        <w:pStyle w:val="FirstParagraph"/>
      </w:pPr>
      <w:r>
        <w:t xml:space="preserve">All data will adhere to Spain’s Organic Law on Data Protection (LOPDGDD) and GDPR, with ethical approval sought from Universidad Complutense de Madrid’s Research Ethics Committee.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 the Accountant profession in Spain Madrid:</w:t>
      </w:r>
    </w:p>
    <w:p>
      <w:pPr>
        <w:numPr>
          <w:ilvl w:val="0"/>
          <w:numId w:val="1003"/>
        </w:numPr>
        <w:pStyle w:val="Compact"/>
      </w:pPr>
      <w:r>
        <w:t xml:space="preserve">A validated "Madrid Accounting Digital Maturity Index" measuring firm readiness for EU regulatory shifts, enabling targeted resource allocation by the Colegio Oficial.</w:t>
      </w:r>
    </w:p>
    <w:p>
      <w:pPr>
        <w:numPr>
          <w:ilvl w:val="0"/>
          <w:numId w:val="1003"/>
        </w:numPr>
        <w:pStyle w:val="Compact"/>
      </w:pPr>
      <w:r>
        <w:t xml:space="preserve">A culturally adapted training toolkit integrating Spanish legal nuances (e.g., handling autonomous community tax laws) with AI analytics—directly addressing the 68% gap in current upskilling.</w:t>
      </w:r>
    </w:p>
    <w:p>
      <w:pPr>
        <w:numPr>
          <w:ilvl w:val="0"/>
          <w:numId w:val="1003"/>
        </w:numPr>
        <w:pStyle w:val="Compact"/>
      </w:pPr>
      <w:r>
        <w:t xml:space="preserve">Policymaker recommendations to streamline compliance via Spain’s National Digital Strategy, including simplified e-filing protocols for Madrid-based firms under Agencia Tributaria oversight.</w:t>
      </w:r>
    </w:p>
    <w:p>
      <w:pPr>
        <w:pStyle w:val="FirstParagraph"/>
      </w:pPr>
      <w:r>
        <w:t xml:space="preserve">Significantly, this research will position Madrid as a model for EU accounting innovation. By reducing compliance costs by 25% (projected), it will bolster SME resilience in Spain’s economy and strengthen Madrid’s appeal as a global finance destination. For Accountants, the framework promises enhanced professional autonomy through data-driven advisory roles—shifting from clerical tasks to strategic value creation.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&amp; regulatory mapping (Agencia Tributaria, ICAC)</w:t>
            </w:r>
          </w:p>
        </w:tc>
        <w:tc>
          <w:tcPr/>
          <w:p>
            <w:pPr>
              <w:pStyle w:val="Compact"/>
              <w:jc w:val="left"/>
            </w:pPr>
            <w:r>
              <w:t xml:space="preserve">Compliance benchmark report for Madrid firms</w:t>
            </w:r>
          </w:p>
        </w:tc>
      </w:tr>
      <w:tr>
        <w:tc>
          <w:tcPr/>
          <w:p>
            <w:pPr>
              <w:pStyle w:val="Compact"/>
              <w:jc w:val="left"/>
            </w:pPr>
            <w:r>
              <w:t xml:space="preserve">Months 5–10</w:t>
            </w:r>
          </w:p>
        </w:tc>
        <w:tc>
          <w:tcPr/>
          <w:p>
            <w:pPr>
              <w:pStyle w:val="Compact"/>
              <w:jc w:val="left"/>
            </w:pPr>
            <w:r>
              <w:t xml:space="preserve">Interviews, workshop design, pilot framework development</w:t>
            </w:r>
          </w:p>
        </w:tc>
        <w:tc>
          <w:tcPr/>
          <w:p>
            <w:pPr>
              <w:pStyle w:val="Compact"/>
              <w:jc w:val="left"/>
            </w:pPr>
            <w:r>
              <w:t xml:space="preserve">Digital maturity assessment tool + training curriculum draft</w:t>
            </w:r>
          </w:p>
        </w:tc>
      </w:tr>
      <w:tr>
        <w:tc>
          <w:tcPr/>
          <w:p>
            <w:pPr>
              <w:pStyle w:val="Compact"/>
              <w:jc w:val="left"/>
            </w:pPr>
            <w:r>
              <w:t xml:space="preserve">Months 11–14</w:t>
            </w:r>
          </w:p>
        </w:tc>
        <w:tc>
          <w:tcPr/>
          <w:p>
            <w:pPr>
              <w:pStyle w:val="Compact"/>
              <w:jc w:val="left"/>
            </w:pPr>
            <w:r>
              <w:t xml:space="preserve">Pilot implementation with Madrid accounting firms</w:t>
            </w:r>
          </w:p>
        </w:tc>
        <w:tc>
          <w:tcPr/>
          <w:p>
            <w:pPr>
              <w:pStyle w:val="Compact"/>
              <w:jc w:val="left"/>
            </w:pPr>
            <w:r>
              <w:t xml:space="preserve">Validated upskilling module (tested in 20 firms)</w:t>
            </w:r>
          </w:p>
        </w:tc>
      </w:tr>
      <w:tr>
        <w:tc>
          <w:tcPr/>
          <w:p>
            <w:pPr>
              <w:pStyle w:val="Compact"/>
              <w:jc w:val="left"/>
            </w:pPr>
            <w:r>
              <w:t xml:space="preserve">Months 15–18</w:t>
            </w:r>
          </w:p>
        </w:tc>
        <w:tc>
          <w:tcPr/>
          <w:p>
            <w:pPr>
              <w:pStyle w:val="Compact"/>
              <w:jc w:val="left"/>
            </w:pPr>
            <w:r>
              <w:t xml:space="preserve">Evaluation, policy briefs, final thesis submission</w:t>
            </w:r>
          </w:p>
        </w:tc>
        <w:tc>
          <w:tcPr/>
          <w:p>
            <w:pPr>
              <w:pStyle w:val="Compact"/>
              <w:jc w:val="left"/>
            </w:pPr>
            <w:r>
              <w:t xml:space="preserve">Policymaker white paper + academic publication</w:t>
            </w:r>
          </w:p>
        </w:tc>
      </w:tr>
    </w:tbl>
    <w:bookmarkEnd w:id="26"/>
    <w:bookmarkStart w:id="27" w:name="X63931251585a3c648dd13e3b7ab94a0959360c4"/>
    <w:p>
      <w:pPr>
        <w:pStyle w:val="Heading2"/>
      </w:pPr>
      <w:r>
        <w:t xml:space="preserve">8. Conclusion: Strategic Imperative for Spain Madrid</w:t>
      </w:r>
    </w:p>
    <w:p>
      <w:pPr>
        <w:pStyle w:val="FirstParagraph"/>
      </w:pPr>
      <w:r>
        <w:t xml:space="preserve">The future of Accountants in Spain Madrid hinges on proactive adaptation to regulatory and technological tectonics. This Research Proposal transcends academic inquiry by delivering actionable solutions for the profession’s most urgent challenges. As Madrid accelerates its role in the European Economic and Monetary Union, Accountants are not merely compliance officers—they are strategic architects of economic trust. Our study will empower them with evidence-based tools to navigate Spain’s complex fiscal landscape while driving innovation aligned with EU green and digital agendas. With over 120,000 Accountants employed in Madrid alone (INE 2023), the potential for systemic impact—enhancing business confidence, attracting foreign investment, and securing Spain’s position as a financial leader—is immense. We urge the Colegio Oficial de Economistas de Madrid and relevant ministries to endorse this initiative as foundational to Spain’s economic resilience.</w:t>
      </w:r>
    </w:p>
    <w:bookmarkEnd w:id="27"/>
    <w:bookmarkStart w:id="28" w:name="references-selected"/>
    <w:p>
      <w:pPr>
        <w:pStyle w:val="Heading2"/>
      </w:pPr>
      <w:r>
        <w:t xml:space="preserve">9. References (Selected)</w:t>
      </w:r>
    </w:p>
    <w:p>
      <w:pPr>
        <w:numPr>
          <w:ilvl w:val="0"/>
          <w:numId w:val="1004"/>
        </w:numPr>
        <w:pStyle w:val="Compact"/>
      </w:pPr>
      <w:r>
        <w:t xml:space="preserve">García, M., &amp; López, J. (2022). *Digital Transformation in Spanish Accounting*. Revista Española de Contabilidad, 45(3), 112–130.</w:t>
      </w:r>
    </w:p>
    <w:p>
      <w:pPr>
        <w:numPr>
          <w:ilvl w:val="0"/>
          <w:numId w:val="1004"/>
        </w:numPr>
        <w:pStyle w:val="Compact"/>
      </w:pPr>
      <w:r>
        <w:t xml:space="preserve">OECD. (2023). *Accounting and Reporting Practices in the EU: Spain’s Position*. OECD Publishing.</w:t>
      </w:r>
    </w:p>
    <w:p>
      <w:pPr>
        <w:numPr>
          <w:ilvl w:val="0"/>
          <w:numId w:val="1004"/>
        </w:numPr>
        <w:pStyle w:val="Compact"/>
      </w:pPr>
      <w:r>
        <w:t xml:space="preserve">Spanish Tax Agency (Agencia Tributaria). (2024). *Regulatory Compliance Report 2023*. Madrid: Government of Spain.</w:t>
      </w:r>
    </w:p>
    <w:p>
      <w:pPr>
        <w:numPr>
          <w:ilvl w:val="0"/>
          <w:numId w:val="1004"/>
        </w:numPr>
        <w:pStyle w:val="Compact"/>
      </w:pPr>
      <w:r>
        <w:t xml:space="preserve">Colegio Oficial de Economistas de Madrid. (2023). *Professional Skills Survey: Digital Gap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Practices of Accountants in Spain Madrid</dc:title>
  <dc:creator/>
  <dc:language>en</dc:language>
  <cp:keywords/>
  <dcterms:created xsi:type="dcterms:W3CDTF">2026-07-20T07:00:25Z</dcterms:created>
  <dcterms:modified xsi:type="dcterms:W3CDTF">2026-07-20T07:00:25Z</dcterms:modified>
</cp:coreProperties>
</file>

<file path=docProps/custom.xml><?xml version="1.0" encoding="utf-8"?>
<Properties xmlns="http://schemas.openxmlformats.org/officeDocument/2006/custom-properties" xmlns:vt="http://schemas.openxmlformats.org/officeDocument/2006/docPropsVTypes"/>
</file>