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b633e3c777c393beaa08d5ea9408ff79927d537"/>
    <w:p>
      <w:pPr>
        <w:pStyle w:val="Heading1"/>
      </w:pPr>
      <w:r>
        <w:t xml:space="preserve">Research Proposal: The Evolving Role of Accountant in the United Arab Emirates Dubai</w:t>
      </w:r>
    </w:p>
    <w:bookmarkStart w:id="20" w:name="introduction"/>
    <w:p>
      <w:pPr>
        <w:pStyle w:val="Heading2"/>
      </w:pPr>
      <w:r>
        <w:t xml:space="preserve">1. Introduction</w:t>
      </w:r>
    </w:p>
    <w:p>
      <w:pPr>
        <w:pStyle w:val="FirstParagraph"/>
      </w:pPr>
      <w:r>
        <w:t xml:space="preserve">The United Arab Emirates, particularly Dubai, has established itself as a global business hub and financial center in the Middle East. As a city-state renowned for its economic diversification strategy beyond oil, Dubai's regulatory landscape is rapidly evolving to support its vision of becoming a leading international investment destination. Within this dynamic ecosystem, the profession of Accountant plays a pivotal role in ensuring transparency, compliance, and strategic financial management for businesses operating across sectors including real estate, tourism, finance, and technology. This Research Proposal outlines an investigation into how the changing economic policies, technological advancements, and regulatory frameworks are reshaping the responsibilities and competencies required of an Accountant in United Arab Emirates Dubai. Given Dubai's status as a tax-neutral jurisdiction (with recent implementation of VAT), coupled with its ambitious initiatives like Dubai 2040 Urban Master Plan and free zone expansions, understanding the accountant's evolving role is critical for sustainable business growth.</w:t>
      </w:r>
    </w:p>
    <w:bookmarkEnd w:id="20"/>
    <w:bookmarkStart w:id="21" w:name="problem-statement"/>
    <w:p>
      <w:pPr>
        <w:pStyle w:val="Heading2"/>
      </w:pPr>
      <w:r>
        <w:t xml:space="preserve">2. Problem Statement</w:t>
      </w:r>
    </w:p>
    <w:p>
      <w:pPr>
        <w:pStyle w:val="FirstParagraph"/>
      </w:pPr>
      <w:r>
        <w:t xml:space="preserve">Despite Dubai's prominence as a financial center in the United Arab Emirates, there remains a significant gap in empirical research on how contemporary accountants navigate complex regulatory shifts and technological disruptions within the local context. The introduction of federal VAT (implemented in 2018), corporate tax reforms (effective 2023), and the UAE's alignment with international financial reporting standards have created unprecedented demands on accounting professionals. Simultaneously, Dubai's aggressive adoption of AI-driven accounting platforms, blockchain for transaction verification, and digital ledger systems is rapidly transforming traditional accounting functions. This Research Proposal addresses the urgent need to investigate: (a) how local accountants adapt to these regulatory changes while maintaining compliance with Dubai's Department of Economic Development (DED) and Federal Tax Authority (FTA), (b) whether current professional development frameworks adequately equip accountants for emerging tech-driven responsibilities, and (c) what skill gaps exist between industry expectations and the competencies of UAE-based Accountant professionals. Without addressing these challenges, Dubai risks operational inefficiencies, compliance breaches, and diminished investor confidence in its financial ecosystem.</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 to United Arab Emirates Dubai:</w:t>
      </w:r>
    </w:p>
    <w:p>
      <w:pPr>
        <w:numPr>
          <w:ilvl w:val="0"/>
          <w:numId w:val="1001"/>
        </w:numPr>
        <w:pStyle w:val="Compact"/>
      </w:pPr>
      <w:r>
        <w:t xml:space="preserve">To analyze the impact of recent tax legislation (VAT, Corporate Tax) on daily accounting operations in Dubai-based businesses.</w:t>
      </w:r>
    </w:p>
    <w:p>
      <w:pPr>
        <w:numPr>
          <w:ilvl w:val="0"/>
          <w:numId w:val="1001"/>
        </w:numPr>
        <w:pStyle w:val="Compact"/>
      </w:pPr>
      <w:r>
        <w:t xml:space="preserve">To evaluate the adoption rate and effectiveness of digital accounting technologies (e.g., AI tools, cloud-based ERP systems) among Accountant professionals across Dubai's commercial sectors.</w:t>
      </w:r>
    </w:p>
    <w:p>
      <w:pPr>
        <w:numPr>
          <w:ilvl w:val="0"/>
          <w:numId w:val="1001"/>
        </w:numPr>
        <w:pStyle w:val="Compact"/>
      </w:pPr>
      <w:r>
        <w:t xml:space="preserve">To identify critical competency gaps between current professional training programs and the evolving demands of an Accountant in the United Arab Emirates Dubai context.</w:t>
      </w:r>
    </w:p>
    <w:p>
      <w:pPr>
        <w:numPr>
          <w:ilvl w:val="0"/>
          <w:numId w:val="1001"/>
        </w:numPr>
        <w:pStyle w:val="Compact"/>
      </w:pPr>
      <w:r>
        <w:t xml:space="preserve">To develop a comprehensive framework for future-ready accounting education and certification aligned with Dubai's economic strategy (e.g., D33 Vision, Innovation Economy).</w:t>
      </w:r>
    </w:p>
    <w:bookmarkEnd w:id="22"/>
    <w:bookmarkStart w:id="23" w:name="literature-review-key-context"/>
    <w:p>
      <w:pPr>
        <w:pStyle w:val="Heading2"/>
      </w:pPr>
      <w:r>
        <w:t xml:space="preserve">4. Literature Review (Key Context)</w:t>
      </w:r>
    </w:p>
    <w:p>
      <w:pPr>
        <w:pStyle w:val="FirstParagraph"/>
      </w:pPr>
      <w:r>
        <w:t xml:space="preserve">Existing research on accounting in the Middle East primarily focuses on GCC-wide frameworks, but lacks granular analysis of Dubai-specific dynamics. Studies by Al-Musallam (2019) highlight VAT compliance challenges in UAE but overlook post-implementation adaptations. Meanwhile, UAE University's 2021 report notes rising demand for data analytics skills among Accountant professionals yet fails to link this to Dubai's unique business environment. Crucially, no prior research has examined how Dubai’s free zone regulations (e.g., DIFC, DMCC) create divergent accounting requirements compared to mainland operations—a critical nuance for this Research Proposal. This study fills that void by centering its analysis on the United Arab Emirates Dubai ecosystem as a microcosm of the nation's economic transformation.</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Dubai’s business landscape:</w:t>
      </w:r>
    </w:p>
    <w:p>
      <w:pPr>
        <w:numPr>
          <w:ilvl w:val="0"/>
          <w:numId w:val="1002"/>
        </w:numPr>
        <w:pStyle w:val="Compact"/>
      </w:pPr>
      <w:r>
        <w:rPr>
          <w:bCs/>
          <w:b/>
        </w:rPr>
        <w:t xml:space="preserve">Phase 1: Survey (Quantitative)</w:t>
      </w:r>
      <w:r>
        <w:t xml:space="preserve">: An online questionnaire targeting 300+ certified Accountant professionals across Dubai's mainland and free zones (DIFC/DMCC), measuring compliance challenges, tech adoption rates, and skill gaps. Sampling will ensure representation from SMEs, multinational corporations, and accounting firms.</w:t>
      </w:r>
    </w:p>
    <w:p>
      <w:pPr>
        <w:numPr>
          <w:ilvl w:val="0"/>
          <w:numId w:val="1002"/>
        </w:numPr>
        <w:pStyle w:val="Compact"/>
      </w:pPr>
      <w:r>
        <w:rPr>
          <w:bCs/>
          <w:b/>
        </w:rPr>
        <w:t xml:space="preserve">Phase 2: Expert Interviews (Qualitative)</w:t>
      </w:r>
      <w:r>
        <w:t xml:space="preserve">: In-depth interviews with 15+ stakeholders including DED officials, FTA representatives, C-suite financial officers of major Dubai entities (e.g., Emaar, Dubai Holding), and heads of professional bodies like the Institute of Chartered Accountants in England and Wales (ICAEW) Middle East.</w:t>
      </w:r>
    </w:p>
    <w:p>
      <w:pPr>
        <w:numPr>
          <w:ilvl w:val="0"/>
          <w:numId w:val="1002"/>
        </w:numPr>
        <w:pStyle w:val="Compact"/>
      </w:pPr>
      <w:r>
        <w:rPr>
          <w:bCs/>
          <w:b/>
        </w:rPr>
        <w:t xml:space="preserve">Data Analysis</w:t>
      </w:r>
      <w:r>
        <w:t xml:space="preserve">: Statistical analysis (SPSS) for survey data; thematic coding for interview transcripts using NVivo. All findings will be contextualized within Dubai’s regulatory timeline (e.g., VAT rollout, corporate tax announcement).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actionable insights that directly benefit Dubai’s economic trajectory:</w:t>
      </w:r>
    </w:p>
    <w:p>
      <w:pPr>
        <w:numPr>
          <w:ilvl w:val="0"/>
          <w:numId w:val="1003"/>
        </w:numPr>
        <w:pStyle w:val="Compact"/>
      </w:pPr>
      <w:r>
        <w:rPr>
          <w:bCs/>
          <w:b/>
        </w:rPr>
        <w:t xml:space="preserve">For Accountant Professionals</w:t>
      </w:r>
      <w:r>
        <w:t xml:space="preserve">: A competency roadmap identifying priority skills (e.g., data visualization, blockchain auditing) for career advancement in United Arab Emirates Dubai.</w:t>
      </w:r>
    </w:p>
    <w:p>
      <w:pPr>
        <w:numPr>
          <w:ilvl w:val="0"/>
          <w:numId w:val="1003"/>
        </w:numPr>
        <w:pStyle w:val="Compact"/>
      </w:pPr>
      <w:r>
        <w:rPr>
          <w:bCs/>
          <w:b/>
        </w:rPr>
        <w:t xml:space="preserve">For Regulatory Bodies</w:t>
      </w:r>
      <w:r>
        <w:t xml:space="preserve">: Evidence-based recommendations to refine DED/FTA training requirements and simplify compliance pathways.</w:t>
      </w:r>
    </w:p>
    <w:p>
      <w:pPr>
        <w:numPr>
          <w:ilvl w:val="0"/>
          <w:numId w:val="1003"/>
        </w:numPr>
        <w:pStyle w:val="Compact"/>
      </w:pPr>
      <w:r>
        <w:rPr>
          <w:bCs/>
          <w:b/>
        </w:rPr>
        <w:t xml:space="preserve">For Educational Institutions</w:t>
      </w:r>
      <w:r>
        <w:t xml:space="preserve">: Curriculum guidelines for universities (e.g., University of Dubai, American University of Sharjah) to align accounting degrees with Dubai’s market needs.</w:t>
      </w:r>
    </w:p>
    <w:p>
      <w:pPr>
        <w:numPr>
          <w:ilvl w:val="0"/>
          <w:numId w:val="1003"/>
        </w:numPr>
        <w:pStyle w:val="Compact"/>
      </w:pPr>
      <w:r>
        <w:rPr>
          <w:bCs/>
          <w:b/>
        </w:rPr>
        <w:t xml:space="preserve">Strategic Significance</w:t>
      </w:r>
      <w:r>
        <w:t xml:space="preserve">: The findings will support Dubai's goal to become a top 5 global hub for financial services by 2031. By optimizing the Accountant profession's capabilities, this research directly contributes to enhancing Dubai’s reputation as a transparent, tech-savvy business destination within the United Arab Emirates.</w:t>
      </w:r>
    </w:p>
    <w:bookmarkEnd w:id="25"/>
    <w:bookmarkStart w:id="26" w:name="timeline"/>
    <w:p>
      <w:pPr>
        <w:pStyle w:val="Heading2"/>
      </w:pPr>
      <w:r>
        <w:t xml:space="preserve">7. Timeline</w:t>
      </w:r>
    </w:p>
    <w:p>
      <w:pPr>
        <w:pStyle w:val="FirstParagraph"/>
      </w:pPr>
      <w:r>
        <w:rPr>
          <w:bCs/>
          <w:b/>
        </w:rPr>
        <w:t xml:space="preserve">Month 1-2</w:t>
      </w:r>
      <w:r>
        <w:t xml:space="preserve">: Literature review &amp; instrument design; Stakeholder engagement with DED/FTA.</w:t>
      </w:r>
    </w:p>
    <w:p>
      <w:pPr>
        <w:pStyle w:val="BodyText"/>
      </w:pPr>
      <w:r>
        <w:rPr>
          <w:bCs/>
          <w:b/>
        </w:rPr>
        <w:t xml:space="preserve">Month 3-4</w:t>
      </w:r>
      <w:r>
        <w:t xml:space="preserve">: Survey distribution (Dubai-based Accountant professionals) and initial interviews.</w:t>
      </w:r>
    </w:p>
    <w:p>
      <w:pPr>
        <w:pStyle w:val="BodyText"/>
      </w:pPr>
      <w:r>
        <w:rPr>
          <w:bCs/>
          <w:b/>
        </w:rPr>
        <w:t xml:space="preserve">Month 5</w:t>
      </w:r>
      <w:r>
        <w:t xml:space="preserve">: Data analysis and draft framework development.</w:t>
      </w:r>
    </w:p>
    <w:p>
      <w:pPr>
        <w:pStyle w:val="BodyText"/>
      </w:pPr>
      <w:r>
        <w:rPr>
          <w:bCs/>
          <w:b/>
        </w:rPr>
        <w:t xml:space="preserve">Month 6</w:t>
      </w:r>
      <w:r>
        <w:t xml:space="preserve">: Validation workshop with Dubai Chamber of Commerce &amp; final research report submission.</w:t>
      </w:r>
    </w:p>
    <w:bookmarkEnd w:id="26"/>
    <w:bookmarkStart w:id="27" w:name="conclusion"/>
    <w:p>
      <w:pPr>
        <w:pStyle w:val="Heading2"/>
      </w:pPr>
      <w:r>
        <w:t xml:space="preserve">8. Conclusion</w:t>
      </w:r>
    </w:p>
    <w:p>
      <w:pPr>
        <w:pStyle w:val="FirstParagraph"/>
      </w:pPr>
      <w:r>
        <w:t xml:space="preserve">The evolving role of Accountant in United Arab Emirates Dubai transcends mere compliance; it is central to the emirate’s economic resilience and global competitiveness. As Dubai accelerates its digital transformation through initiatives like Smart Dubai and AI Strategy 2031, accountants must transition from traditional bookkeepers to strategic financial advisors equipped with technological acumen. This Research Proposal provides a vital foundation for understanding these transitions within the specific regulatory and cultural context of United Arab Emirates Dubai. By documenting the challenges, capabilities, and future needs of Accountant professionals operating in this unique ecosystem, this study will empower policymakers, educators, and practitioners to build a more agile, innovative accounting profession—one that not only meets Dubai’s current economic demands but also anticipates the financial complexities of its next decade. The findings will serve as a benchmark for similar research across the GCC and reinforce Dubai's position as a forward-thinking model for business excellence in the 21st century.</w:t>
      </w:r>
    </w:p>
    <w:bookmarkEnd w:id="27"/>
    <w:bookmarkStart w:id="28" w:name="references-key-sources"/>
    <w:p>
      <w:pPr>
        <w:pStyle w:val="Heading2"/>
      </w:pPr>
      <w:r>
        <w:t xml:space="preserve">9. References (Key Sources)</w:t>
      </w:r>
    </w:p>
    <w:p>
      <w:pPr>
        <w:numPr>
          <w:ilvl w:val="0"/>
          <w:numId w:val="1004"/>
        </w:numPr>
        <w:pStyle w:val="Compact"/>
      </w:pPr>
      <w:r>
        <w:t xml:space="preserve">UAE Federal Tax Authority (FTA). (2023). Corporate Tax Regulations: Implementation Guidelines. Abu Dhabi.</w:t>
      </w:r>
    </w:p>
    <w:p>
      <w:pPr>
        <w:numPr>
          <w:ilvl w:val="0"/>
          <w:numId w:val="1004"/>
        </w:numPr>
        <w:pStyle w:val="Compact"/>
      </w:pPr>
      <w:r>
        <w:t xml:space="preserve">Dubai Department of Economy and Tourism (DET). (2024). Dubai Economic Vision 2030: Financial Services Sector Report.</w:t>
      </w:r>
    </w:p>
    <w:p>
      <w:pPr>
        <w:numPr>
          <w:ilvl w:val="0"/>
          <w:numId w:val="1004"/>
        </w:numPr>
        <w:pStyle w:val="Compact"/>
      </w:pPr>
      <w:r>
        <w:t xml:space="preserve">Al-Musallam, R. (2019). VAT Compliance in UAE: Challenges and Solutions. Journal of Middle East Accounting Research.</w:t>
      </w:r>
    </w:p>
    <w:p>
      <w:pPr>
        <w:numPr>
          <w:ilvl w:val="0"/>
          <w:numId w:val="1004"/>
        </w:numPr>
        <w:pStyle w:val="Compact"/>
      </w:pPr>
      <w:r>
        <w:t xml:space="preserve">Institute of Chartered Accountants in England and Wales (ICAEW). (2023). The Future of Accounting: AI and Skills Transformation.</w:t>
      </w:r>
    </w:p>
    <w:p>
      <w:pPr>
        <w:pStyle w:val="FirstParagraph"/>
      </w:pPr>
      <w:r>
        <w:rPr>
          <w:iCs/>
          <w:i/>
        </w:rPr>
        <w:t xml:space="preserve">This Research Proposal aligns with the United Arab Emirates Dubai government’s strategic priorities, emphasizing economic diversification, innovation, and professional excellence. It represents a critical step toward establishing Dubai as the premier destination for finance professionals in the global arena.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United Arab Emirates Dubai</dc:title>
  <dc:creator/>
  <dc:language>en</dc:language>
  <cp:keywords/>
  <dcterms:created xsi:type="dcterms:W3CDTF">2026-07-23T15:21:29Z</dcterms:created>
  <dcterms:modified xsi:type="dcterms:W3CDTF">2026-07-23T15:21:29Z</dcterms:modified>
</cp:coreProperties>
</file>

<file path=docProps/custom.xml><?xml version="1.0" encoding="utf-8"?>
<Properties xmlns="http://schemas.openxmlformats.org/officeDocument/2006/custom-properties" xmlns:vt="http://schemas.openxmlformats.org/officeDocument/2006/docPropsVTypes"/>
</file>