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Manchester's</w:t>
      </w:r>
      <w:r>
        <w:t xml:space="preserve"> </w:t>
      </w:r>
      <w:r>
        <w:t xml:space="preserve">Financial</w:t>
      </w:r>
      <w:r>
        <w:t xml:space="preserve"> </w:t>
      </w:r>
      <w:r>
        <w:t xml:space="preserve">Landscape</w:t>
      </w:r>
    </w:p>
    <w:bookmarkStart w:id="32" w:name="X10a3ec4506900f4c3f1b50376bc122deb98b375"/>
    <w:p>
      <w:pPr>
        <w:pStyle w:val="Heading1"/>
      </w:pPr>
      <w:r>
        <w:t xml:space="preserve">Research Proposal: The Evolving Role of Accountants in Manchester's Financial Landscape within the United Kingdom Context</w:t>
      </w:r>
    </w:p>
    <w:bookmarkStart w:id="20" w:name="introduction-and-background"/>
    <w:p>
      <w:pPr>
        <w:pStyle w:val="Heading2"/>
      </w:pPr>
      <w:r>
        <w:t xml:space="preserve">1. Introduction and Background</w:t>
      </w:r>
    </w:p>
    <w:p>
      <w:pPr>
        <w:pStyle w:val="FirstParagraph"/>
      </w:pPr>
      <w:r>
        <w:t xml:space="preserve">The accounting profession in the United Kingdom Manchester has undergone profound transformation due to digital disruption, regulatory shifts, and economic diversification. As Manchester emerges as a pivotal financial hub outside London, with its 2023 GDP contribution exceeding £78 billion (Office for National Statistics), the role of the</w:t>
      </w:r>
      <w:r>
        <w:t xml:space="preserve"> </w:t>
      </w:r>
      <w:r>
        <w:rPr>
          <w:bCs/>
          <w:b/>
        </w:rPr>
        <w:t xml:space="preserve">Accountant</w:t>
      </w:r>
      <w:r>
        <w:t xml:space="preserve"> </w:t>
      </w:r>
      <w:r>
        <w:t xml:space="preserve">has evolved from traditional bookkeeping to strategic business advisory. This research proposal addresses critical gaps in understanding how Manchester-based accountants navigate Brexit implications, AI integration, and SME growth within the unique socioeconomic fabric of North West England. The United Kingdom's evolving fiscal policies and Manchester's status as a global city make this investigation not only academically significant but also urgently relevant to professional practice.</w:t>
      </w:r>
    </w:p>
    <w:bookmarkEnd w:id="20"/>
    <w:bookmarkStart w:id="21" w:name="problem-statement"/>
    <w:p>
      <w:pPr>
        <w:pStyle w:val="Heading2"/>
      </w:pPr>
      <w:r>
        <w:t xml:space="preserve">2. Problem Statement</w:t>
      </w:r>
    </w:p>
    <w:p>
      <w:pPr>
        <w:pStyle w:val="FirstParagraph"/>
      </w:pPr>
      <w:r>
        <w:t xml:space="preserve">Despite Manchester's position as the UK's second-largest financial centre (after London), there exists no comprehensive study on contemporary challenges facing local accountants. Current literature focuses predominantly on London-based practices, neglecting regional disparities in: (a) regulatory adaptation post-Brexit, (b) adoption of AI-driven tools among SMEs in Greater Manchester, and (c) talent retention in a competitive regional market. This research fills the void by examining how Manchester-based</w:t>
      </w:r>
      <w:r>
        <w:t xml:space="preserve"> </w:t>
      </w:r>
      <w:r>
        <w:rPr>
          <w:bCs/>
          <w:b/>
        </w:rPr>
        <w:t xml:space="preserve">Accountant</w:t>
      </w:r>
      <w:r>
        <w:t xml:space="preserve">s balance compliance demands with innovation while serving the city's diverse business ecosystem—from heritage manufacturing firms to digital startups. The United Kingdom's recent Financial Services and Markets Act amendments further necessitate this investigation to ensure professional practice aligns with national standards.</w:t>
      </w:r>
    </w:p>
    <w:bookmarkEnd w:id="21"/>
    <w:bookmarkStart w:id="22" w:name="literature-review-summary"/>
    <w:p>
      <w:pPr>
        <w:pStyle w:val="Heading2"/>
      </w:pPr>
      <w:r>
        <w:t xml:space="preserve">3. Literature Review Summary</w:t>
      </w:r>
    </w:p>
    <w:p>
      <w:pPr>
        <w:pStyle w:val="FirstParagraph"/>
      </w:pPr>
      <w:r>
        <w:t xml:space="preserve">Existing scholarship (e.g., CIMA, 2023) highlights AI's impact on accounting functions but lacks regional granularity. Studies by the Association of Chartered Certified Accountants (ACCA) confirm 68% of UK accountants now use AI tools, yet Manchester-specific data remains scarce. Meanwhile, research on post-Brexit trade compliance (UK Government, 2023) overlooks how Manchester's proximity to EU markets creates unique VAT and customs challenges for local practitioners. This project will synthesize these strands while incorporating insights from the</w:t>
      </w:r>
      <w:r>
        <w:t xml:space="preserve"> </w:t>
      </w:r>
      <w:r>
        <w:rPr>
          <w:iCs/>
          <w:i/>
        </w:rPr>
        <w:t xml:space="preserve">Manchester Business School's Economic Resilience Report</w:t>
      </w:r>
      <w:r>
        <w:t xml:space="preserve"> </w:t>
      </w:r>
      <w:r>
        <w:t xml:space="preserve">(2024), which identifies "regional accounting expertise gaps" as a barrier to SME export growth in North West England.</w:t>
      </w:r>
    </w:p>
    <w:bookmarkEnd w:id="22"/>
    <w:bookmarkStart w:id="24" w:name="research-objectives-and-questions"/>
    <w:p>
      <w:pPr>
        <w:pStyle w:val="Heading2"/>
      </w:pPr>
      <w:r>
        <w:t xml:space="preserve">4. Research Objectives and Questions</w:t>
      </w:r>
    </w:p>
    <w:p>
      <w:pPr>
        <w:numPr>
          <w:ilvl w:val="0"/>
          <w:numId w:val="1001"/>
        </w:numPr>
        <w:pStyle w:val="Compact"/>
      </w:pPr>
      <w:r>
        <w:t xml:space="preserve">To map the current skillset evolution of accountants operating in Manchester within the United Kingdom framework</w:t>
      </w:r>
    </w:p>
    <w:p>
      <w:pPr>
        <w:numPr>
          <w:ilvl w:val="0"/>
          <w:numId w:val="1001"/>
        </w:numPr>
        <w:pStyle w:val="Compact"/>
      </w:pPr>
      <w:r>
        <w:t xml:space="preserve">To analyse how Brexit-related regulatory changes specifically impact accounting practices in Greater Manchester businesses</w:t>
      </w:r>
    </w:p>
    <w:p>
      <w:pPr>
        <w:numPr>
          <w:ilvl w:val="0"/>
          <w:numId w:val="1001"/>
        </w:numPr>
        <w:pStyle w:val="Compact"/>
      </w:pPr>
      <w:r>
        <w:t xml:space="preserve">To evaluate the adoption rate and efficacy of AI tools among Manchester-based accountancy firms serving SMEs</w:t>
      </w:r>
    </w:p>
    <w:p>
      <w:pPr>
        <w:numPr>
          <w:ilvl w:val="0"/>
          <w:numId w:val="1001"/>
        </w:numPr>
        <w:pStyle w:val="Compact"/>
      </w:pPr>
      <w:r>
        <w:t xml:space="preserve">To identify talent retention strategies critical for sustaining Manchester's financial services sector growth</w:t>
      </w:r>
    </w:p>
    <w:bookmarkStart w:id="23" w:name="key-research-questions"/>
    <w:p>
      <w:pPr>
        <w:pStyle w:val="Heading3"/>
      </w:pPr>
      <w:r>
        <w:t xml:space="preserve">Key Research Questions:</w:t>
      </w:r>
    </w:p>
    <w:p>
      <w:pPr>
        <w:numPr>
          <w:ilvl w:val="0"/>
          <w:numId w:val="1002"/>
        </w:numPr>
        <w:pStyle w:val="Compact"/>
      </w:pPr>
      <w:r>
        <w:t xml:space="preserve">How do Manchester accountants reconcile EU-UK regulatory divergence with client compliance requirements?</w:t>
      </w:r>
    </w:p>
    <w:p>
      <w:pPr>
        <w:numPr>
          <w:ilvl w:val="0"/>
          <w:numId w:val="1002"/>
        </w:numPr>
        <w:pStyle w:val="Compact"/>
      </w:pPr>
      <w:r>
        <w:t xml:space="preserve">In what ways does AI implementation differ between London-based and Manchester-based accounting practices?</w:t>
      </w:r>
    </w:p>
    <w:p>
      <w:pPr>
        <w:numPr>
          <w:ilvl w:val="0"/>
          <w:numId w:val="1002"/>
        </w:numPr>
        <w:pStyle w:val="Compact"/>
      </w:pPr>
      <w:r>
        <w:t xml:space="preserve">To what extent does regional business culture influence the advisory services offered by accountants in United Kingdom Manchester?</w:t>
      </w:r>
    </w:p>
    <w:bookmarkEnd w:id="23"/>
    <w:bookmarkEnd w:id="24"/>
    <w:bookmarkStart w:id="28" w:name="methodology"/>
    <w:p>
      <w:pPr>
        <w:pStyle w:val="Heading2"/>
      </w:pPr>
      <w:r>
        <w:t xml:space="preserve">5. Methodology</w:t>
      </w:r>
    </w:p>
    <w:p>
      <w:pPr>
        <w:pStyle w:val="FirstParagraph"/>
      </w:pPr>
      <w:r>
        <w:t xml:space="preserve">This mixed-methods study employs a three-phase approach designed for UK regional specificity:</w:t>
      </w:r>
    </w:p>
    <w:bookmarkStart w:id="25" w:name="phase-1-quantitative-survey-n300"/>
    <w:p>
      <w:pPr>
        <w:pStyle w:val="Heading3"/>
      </w:pPr>
      <w:r>
        <w:t xml:space="preserve">Phase 1: Quantitative Survey (N=300)</w:t>
      </w:r>
    </w:p>
    <w:p>
      <w:pPr>
        <w:pStyle w:val="FirstParagraph"/>
      </w:pPr>
      <w:r>
        <w:t xml:space="preserve">Online survey targeting Manchester-based ACCA, ICAEW, and CIPFA members (stratified by firm size: SMEs, mid-tier, and large firms). Key metrics include AI tool usage frequency, Brexit compliance challenges faced in last 18 months, and staff retention rates. Data will be triangulated with Office for National Statistics regional business data.</w:t>
      </w:r>
    </w:p>
    <w:bookmarkEnd w:id="25"/>
    <w:bookmarkStart w:id="26" w:name="phase-2-qualitative-case-studies-n15"/>
    <w:p>
      <w:pPr>
        <w:pStyle w:val="Heading3"/>
      </w:pPr>
      <w:r>
        <w:t xml:space="preserve">Phase 2: Qualitative Case Studies (n=15)</w:t>
      </w:r>
    </w:p>
    <w:p>
      <w:pPr>
        <w:pStyle w:val="FirstParagraph"/>
      </w:pPr>
      <w:r>
        <w:t xml:space="preserve">Deep-dive interviews with leading Manchester accountants (e.g., BDO Manchester, PwC North West) and SME clients across key sectors: manufacturing, tech, and retail. Focus will be on contextual challenges unique to United Kingdom Manchester – such as navigating the Greater Manchester Combined Authority's local tax incentives.</w:t>
      </w:r>
    </w:p>
    <w:bookmarkEnd w:id="26"/>
    <w:bookmarkStart w:id="27" w:name="phase-3-comparative-analysis"/>
    <w:p>
      <w:pPr>
        <w:pStyle w:val="Heading3"/>
      </w:pPr>
      <w:r>
        <w:t xml:space="preserve">Phase 3: Comparative Analysis</w:t>
      </w:r>
    </w:p>
    <w:p>
      <w:pPr>
        <w:pStyle w:val="FirstParagraph"/>
      </w:pPr>
      <w:r>
        <w:t xml:space="preserve">Contrasting findings with London-based data from ACCA's 2024 UK Practice Report, highlighting regional disparities in professional development needs and technology adoption barriers. All research adheres to the UK's Data Protection Act 2018 and will be ethically reviewed by Manchester Metropolitan University's Research Ethics Committee.</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deliver three tangible outputs:</w:t>
      </w:r>
    </w:p>
    <w:p>
      <w:pPr>
        <w:numPr>
          <w:ilvl w:val="0"/>
          <w:numId w:val="1003"/>
        </w:numPr>
        <w:pStyle w:val="Compact"/>
      </w:pPr>
      <w:r>
        <w:t xml:space="preserve">A regional competency framework for accountants in United Kingdom Manchester, addressing skills gaps identified through sector-specific challenges</w:t>
      </w:r>
    </w:p>
    <w:p>
      <w:pPr>
        <w:numPr>
          <w:ilvl w:val="0"/>
          <w:numId w:val="1003"/>
        </w:numPr>
        <w:pStyle w:val="Compact"/>
      </w:pPr>
      <w:r>
        <w:t xml:space="preserve">A Brexit compliance playbook tailored to Greater Manchester businesses, including customs documentation protocols and VAT recovery mechanisms</w:t>
      </w:r>
    </w:p>
    <w:p>
      <w:pPr>
        <w:numPr>
          <w:ilvl w:val="0"/>
          <w:numId w:val="1003"/>
        </w:numPr>
        <w:pStyle w:val="Compact"/>
      </w:pPr>
      <w:r>
        <w:t xml:space="preserve">Strategic recommendations for professional bodies (ACCA, ICAEW) on regional training initiatives to support the North West's £2.1bn accounting services market (Deloitte, 2023)</w:t>
      </w:r>
    </w:p>
    <w:p>
      <w:pPr>
        <w:pStyle w:val="FirstParagraph"/>
      </w:pPr>
      <w:r>
        <w:t xml:space="preserve">The significance extends beyond academia: Manchester City Council's Economic Strategy 2030 explicitly prioritises "financial resilience" for SMEs, making these findings directly applicable to local policy. For the</w:t>
      </w:r>
      <w:r>
        <w:t xml:space="preserve"> </w:t>
      </w:r>
      <w:r>
        <w:rPr>
          <w:bCs/>
          <w:b/>
        </w:rPr>
        <w:t xml:space="preserve">Accountant</w:t>
      </w:r>
      <w:r>
        <w:t xml:space="preserve"> </w:t>
      </w:r>
      <w:r>
        <w:t xml:space="preserve">profession, this study will establish Manchester as a benchmark for regional accounting excellence within the United Kingdom framework, potentially influencing national CPD requirements.</w:t>
      </w:r>
    </w:p>
    <w:bookmarkEnd w:id="29"/>
    <w:bookmarkStart w:id="30" w:name="timeline-and-resources"/>
    <w:p>
      <w:pPr>
        <w:pStyle w:val="Heading2"/>
      </w:pPr>
      <w:r>
        <w:t xml:space="preserve">7. Timeline and Resources</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Survey Design</w:t>
      </w:r>
    </w:p>
    <w:p>
      <w:pPr>
        <w:pStyle w:val="BodyText"/>
      </w:pPr>
      <w:r>
        <w:t xml:space="preserve">✔</w:t>
      </w:r>
    </w:p>
    <w:p>
      <w:pPr>
        <w:pStyle w:val="BodyText"/>
      </w:pPr>
      <w:r>
        <w:t xml:space="preserve">Quantitative Data Collection</w:t>
      </w:r>
    </w:p>
    <w:p>
      <w:pPr>
        <w:pStyle w:val="BodyText"/>
      </w:pPr>
      <w:r>
        <w:t xml:space="preserve">✔</w:t>
      </w:r>
    </w:p>
    <w:p>
      <w:pPr>
        <w:pStyle w:val="BodyText"/>
      </w:pPr>
      <w:r>
        <w:t xml:space="preserve"> </w:t>
      </w:r>
      <w:r>
        <w:t xml:space="preserve"> </w:t>
      </w:r>
      <w:r>
        <w:t xml:space="preserve"> </w:t>
      </w:r>
      <w:r>
        <w:t xml:space="preserve"> </w:t>
      </w:r>
      <w:r>
        <w:t xml:space="preserve"> </w:t>
      </w:r>
    </w:p>
    <w:p>
      <w:pPr>
        <w:pStyle w:val="BodyText"/>
      </w:pPr>
      <w:r>
        <w:t xml:space="preserve">Case Studies and Analysis</w:t>
      </w:r>
    </w:p>
    <w:p>
      <w:pPr>
        <w:pStyle w:val="BodyText"/>
      </w:pPr>
      <w:r>
        <w:t xml:space="preserve">✔</w:t>
      </w:r>
    </w:p>
    <w:p>
      <w:pPr>
        <w:pStyle w:val="BodyText"/>
      </w:pPr>
      <w:r>
        <w:t xml:space="preserve"> </w:t>
      </w:r>
      <w:r>
        <w:t xml:space="preserve"> </w:t>
      </w:r>
      <w:r>
        <w:t xml:space="preserve"> </w:t>
      </w:r>
      <w:r>
        <w:t xml:space="preserve"> </w:t>
      </w:r>
      <w:r>
        <w:t xml:space="preserve"> </w:t>
      </w:r>
    </w:p>
    <w:p>
      <w:pPr>
        <w:pStyle w:val="BodyText"/>
      </w:pPr>
      <w:r>
        <w:t xml:space="preserve">Report Writing and Policy Briefing</w:t>
      </w:r>
    </w:p>
    <w:p>
      <w:pPr>
        <w:pStyle w:val="BodyText"/>
      </w:pPr>
      <w:r>
        <w:t xml:space="preserve">✔</w:t>
      </w:r>
    </w:p>
    <w:p>
      <w:pPr>
        <w:pStyle w:val="BodyText"/>
      </w:pPr>
      <w:r>
        <w:t xml:space="preserve"> </w:t>
      </w:r>
      <w:r>
        <w:t xml:space="preserve"> </w:t>
      </w:r>
      <w:r>
        <w:t xml:space="preserve"> </w:t>
      </w:r>
      <w:r>
        <w:t xml:space="preserve"> </w:t>
      </w:r>
      <w:r>
        <w:t xml:space="preserve"> </w:t>
      </w:r>
    </w:p>
    <w:bookmarkEnd w:id="30"/>
    <w:bookmarkStart w:id="31" w:name="conclusion"/>
    <w:p>
      <w:pPr>
        <w:pStyle w:val="Heading2"/>
      </w:pPr>
      <w:r>
        <w:t xml:space="preserve">8. Conclusion</w:t>
      </w:r>
    </w:p>
    <w:p>
      <w:pPr>
        <w:pStyle w:val="FirstParagraph"/>
      </w:pPr>
      <w:r>
        <w:t xml:space="preserve">In an era where Manchester is redefining its role as a United Kingdom financial powerhouse, understanding the modern</w:t>
      </w:r>
      <w:r>
        <w:t xml:space="preserve"> </w:t>
      </w:r>
      <w:r>
        <w:rPr>
          <w:bCs/>
          <w:b/>
        </w:rPr>
        <w:t xml:space="preserve">Accountant's</w:t>
      </w:r>
      <w:r>
        <w:t xml:space="preserve"> </w:t>
      </w:r>
      <w:r>
        <w:t xml:space="preserve">evolving responsibilities is not merely academic—it is economic imperative. This research proposal directly addresses the strategic need for regionally contextualised accounting expertise that supports Manchester's ambition to become Europe's leading regional financial hub. By grounding analysis in Manchester's unique economic ecosystem—the city where over 10,000 new businesses launched in 2023 (Greater Manchester Combined Authority)—we will generate actionable insights for professionals, policymakers, and business leaders navigating the United Kingdom’s post-Brexit financial landscape. The findings will position Manchester as a model for how regional accountancy practice can thrive through strategic adaptation within the broader United Kingdom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Manchester's Financial Landscape</dc:title>
  <dc:creator/>
  <dc:language>en</dc:language>
  <cp:keywords/>
  <dcterms:created xsi:type="dcterms:W3CDTF">2026-07-21T14:40:40Z</dcterms:created>
  <dcterms:modified xsi:type="dcterms:W3CDTF">2026-07-21T14:40:40Z</dcterms:modified>
</cp:coreProperties>
</file>

<file path=docProps/custom.xml><?xml version="1.0" encoding="utf-8"?>
<Properties xmlns="http://schemas.openxmlformats.org/officeDocument/2006/custom-properties" xmlns:vt="http://schemas.openxmlformats.org/officeDocument/2006/docPropsVTypes"/>
</file>