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4b65bdf949dd45d2737844378631f2ecd85bd2d"/>
    <w:p>
      <w:pPr>
        <w:pStyle w:val="Heading1"/>
      </w:pPr>
      <w:r>
        <w:t xml:space="preserve">Research Proposal: The Evolving Role of Accountant in United States Chicago's Financial Landscape</w:t>
      </w:r>
    </w:p>
    <w:bookmarkStart w:id="20" w:name="introduction"/>
    <w:p>
      <w:pPr>
        <w:pStyle w:val="Heading2"/>
      </w:pPr>
      <w:r>
        <w:t xml:space="preserve">1. Introduction</w:t>
      </w:r>
    </w:p>
    <w:p>
      <w:pPr>
        <w:pStyle w:val="FirstParagraph"/>
      </w:pPr>
      <w:r>
        <w:t xml:space="preserve">In the dynamic economic ecosystem of the United States, Chicago stands as a pivotal financial hub, second only to New York City in terms of institutional presence and commercial activity. As a global center for banking, commodities trading, and corporate headquarters, Chicago's business environment places extraordinary demands on financial professionals. This Research Proposal investigates the critical role of the</w:t>
      </w:r>
      <w:r>
        <w:t xml:space="preserve"> </w:t>
      </w:r>
      <w:r>
        <w:rPr>
          <w:iCs/>
          <w:i/>
        </w:rPr>
        <w:t xml:space="preserve">Accountant</w:t>
      </w:r>
      <w:r>
        <w:t xml:space="preserve"> </w:t>
      </w:r>
      <w:r>
        <w:t xml:space="preserve">within United States Chicago's economic infrastructure, examining how technological disruption, regulatory complexity, and market volatility are reshaping professional expectations. The study directly addresses a pressing gap in understanding how local</w:t>
      </w:r>
      <w:r>
        <w:t xml:space="preserve"> </w:t>
      </w:r>
      <w:r>
        <w:rPr>
          <w:iCs/>
          <w:i/>
        </w:rPr>
        <w:t xml:space="preserve">Accountant</w:t>
      </w:r>
      <w:r>
        <w:t xml:space="preserve">s navigate these challenges while maintaining integrity in one of America's most competitive financial markets. This investigation is not merely academic—it has tangible implications for workforce development, business compliance, and Chicago's economic resilience within the broader United States context.</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research on accounting practices predominantly focuses on national regulatory frameworks (e.g., GAAP/IFRS convergence) or global corporate trends. However, a significant void persists regarding hyper-localized challenges faced by accountants operating within specific U.S. metropolitan economies like Chicago. Recent studies (Smith &amp; Chen, 2022; Jones et al., 2023) highlight automation's impact on accounting roles but neglect Chicago's unique blend of legacy financial institutions (e.g., CME Group, Northern Trust) alongside burgeoning tech startups. Crucially, no comprehensive analysis exists linking Chicago-specific regulatory nuances—such as Illinois' stringent data privacy laws (CPA Act) and municipal tax complexities—to the daily workflow of the</w:t>
      </w:r>
      <w:r>
        <w:t xml:space="preserve"> </w:t>
      </w:r>
      <w:r>
        <w:rPr>
          <w:iCs/>
          <w:i/>
        </w:rPr>
        <w:t xml:space="preserve">Accountant</w:t>
      </w:r>
      <w:r>
        <w:t xml:space="preserve">. This Research Proposal bridges that gap by centering Chicago as both subject and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identify and analyze sector-specific challenges (financial services, healthcare, manufacturing) confronting the Accountant in United States Chicago between 2019-2024.</w:t>
      </w:r>
    </w:p>
    <w:p>
      <w:pPr>
        <w:numPr>
          <w:ilvl w:val="0"/>
          <w:numId w:val="1001"/>
        </w:numPr>
        <w:pStyle w:val="Compact"/>
      </w:pPr>
      <w:r>
        <w:rPr>
          <w:bCs/>
          <w:b/>
        </w:rPr>
        <w:t xml:space="preserve">Secondary Objectives:</w:t>
      </w:r>
    </w:p>
    <w:p>
      <w:pPr>
        <w:numPr>
          <w:ilvl w:val="1"/>
          <w:numId w:val="1002"/>
        </w:numPr>
        <w:pStyle w:val="Compact"/>
      </w:pPr>
      <w:r>
        <w:t xml:space="preserve">Evaluate the adoption rate of AI-driven accounting tools (e.g., BlackLine, Workiva) across Chicago-based firms and their impact on job functions.</w:t>
      </w:r>
    </w:p>
    <w:p>
      <w:pPr>
        <w:numPr>
          <w:ilvl w:val="1"/>
          <w:numId w:val="1002"/>
        </w:numPr>
        <w:pStyle w:val="Compact"/>
      </w:pPr>
      <w:r>
        <w:t xml:space="preserve">Assess how Illinois’ evolving tax policies and Chicago's municipal regulations influence financial reporting accuracy and compliance timelines.</w:t>
      </w:r>
    </w:p>
    <w:p>
      <w:pPr>
        <w:numPr>
          <w:ilvl w:val="1"/>
          <w:numId w:val="1002"/>
        </w:numPr>
        <w:pStyle w:val="Compact"/>
      </w:pPr>
      <w:r>
        <w:t xml:space="preserve">Map professional development pathways for Accountant roles in Chicago’s post-pandemic economic recovery phase.</w:t>
      </w:r>
    </w:p>
    <w:bookmarkEnd w:id="22"/>
    <w:bookmarkStart w:id="26" w:name="methodology"/>
    <w:p>
      <w:pPr>
        <w:pStyle w:val="Heading2"/>
      </w:pPr>
      <w:r>
        <w:t xml:space="preserve">4. Methodology</w:t>
      </w:r>
    </w:p>
    <w:p>
      <w:pPr>
        <w:pStyle w:val="FirstParagraph"/>
      </w:pPr>
      <w:r>
        <w:t xml:space="preserve">This mixed-methods study employs triangulated data collection across United States Chicago:</w:t>
      </w:r>
    </w:p>
    <w:bookmarkStart w:id="23" w:name="phase-1-quantitative-analysis-months-1-3"/>
    <w:p>
      <w:pPr>
        <w:pStyle w:val="Heading3"/>
      </w:pPr>
      <w:r>
        <w:t xml:space="preserve">Phase 1: Quantitative Analysis (Months 1-3)</w:t>
      </w:r>
    </w:p>
    <w:p>
      <w:pPr>
        <w:numPr>
          <w:ilvl w:val="0"/>
          <w:numId w:val="1003"/>
        </w:numPr>
        <w:pStyle w:val="Compact"/>
      </w:pPr>
      <w:r>
        <w:rPr>
          <w:iCs/>
          <w:i/>
        </w:rPr>
        <w:t xml:space="preserve">Data Sources:</w:t>
      </w:r>
      <w:r>
        <w:t xml:space="preserve"> </w:t>
      </w:r>
      <w:r>
        <w:t xml:space="preserve">Illinois Department of Revenue filings, Chicago Municipal Code archives, and Bureau of Labor Statistics (BLS) occupational data for "Accountants" in MSA (Metropolitan Statistical Area).</w:t>
      </w:r>
    </w:p>
    <w:p>
      <w:pPr>
        <w:numPr>
          <w:ilvl w:val="0"/>
          <w:numId w:val="1003"/>
        </w:numPr>
        <w:pStyle w:val="Compact"/>
      </w:pPr>
      <w:r>
        <w:rPr>
          <w:iCs/>
          <w:i/>
        </w:rPr>
        <w:t xml:space="preserve">Approach:</w:t>
      </w:r>
      <w:r>
        <w:t xml:space="preserve"> </w:t>
      </w:r>
      <w:r>
        <w:t xml:space="preserve">Regression analysis correlating tax compliance delays with firm size/sector across 150 Chicago-based organizations (2020-2023). Key metrics include error rates, tool adoption %, and time-to-compliance.</w:t>
      </w:r>
    </w:p>
    <w:bookmarkEnd w:id="23"/>
    <w:bookmarkStart w:id="24" w:name="X8db50b3f7924f9b8ea616737ee73b8993c6da8b"/>
    <w:p>
      <w:pPr>
        <w:pStyle w:val="Heading3"/>
      </w:pPr>
      <w:r>
        <w:t xml:space="preserve">Phase 2: Qualitative Investigation (Months 4-6)</w:t>
      </w:r>
    </w:p>
    <w:p>
      <w:pPr>
        <w:numPr>
          <w:ilvl w:val="0"/>
          <w:numId w:val="1004"/>
        </w:numPr>
        <w:pStyle w:val="Compact"/>
      </w:pPr>
      <w:r>
        <w:rPr>
          <w:iCs/>
          <w:i/>
        </w:rPr>
        <w:t xml:space="preserve">Data Collection:</w:t>
      </w:r>
      <w:r>
        <w:t xml:space="preserve"> </w:t>
      </w:r>
      <w:r>
        <w:t xml:space="preserve">Semi-structured interviews with 45 practicing Accountant professionals across Chicago (15 each from finance, public accounting firms, and corporate treasury departments). Stratified sampling ensures representation of Fortune 500 subsidiaries and local SMEs.</w:t>
      </w:r>
    </w:p>
    <w:p>
      <w:pPr>
        <w:numPr>
          <w:ilvl w:val="0"/>
          <w:numId w:val="1004"/>
        </w:numPr>
        <w:pStyle w:val="Compact"/>
      </w:pPr>
      <w:r>
        <w:rPr>
          <w:iCs/>
          <w:i/>
        </w:rPr>
        <w:t xml:space="preserve">Focus Areas:</w:t>
      </w:r>
      <w:r>
        <w:t xml:space="preserve"> </w:t>
      </w:r>
      <w:r>
        <w:t xml:space="preserve">Workflow disruptions due to new regulations (e.g., Illinois' Data Privacy Act), technology integration barriers, and professional skill gaps perceived by employers in United States Chicago.</w:t>
      </w:r>
    </w:p>
    <w:bookmarkEnd w:id="24"/>
    <w:bookmarkStart w:id="25" w:name="phase-3-comparative-benchmarking-month-7"/>
    <w:p>
      <w:pPr>
        <w:pStyle w:val="Heading3"/>
      </w:pPr>
      <w:r>
        <w:t xml:space="preserve">Phase 3: Comparative Benchmarking (Month 7)</w:t>
      </w:r>
    </w:p>
    <w:p>
      <w:pPr>
        <w:numPr>
          <w:ilvl w:val="0"/>
          <w:numId w:val="1005"/>
        </w:numPr>
        <w:pStyle w:val="Compact"/>
      </w:pPr>
      <w:r>
        <w:rPr>
          <w:iCs/>
          <w:i/>
        </w:rPr>
        <w:t xml:space="preserve">Analysis:</w:t>
      </w:r>
      <w:r>
        <w:t xml:space="preserve"> </w:t>
      </w:r>
      <w:r>
        <w:t xml:space="preserve">Comparison of Chicago data against national averages (via AICPA surveys) and peer cities (e.g., Dallas, Boston) to isolate city-specific factors affecting the Accountant role.</w:t>
      </w:r>
    </w:p>
    <w:bookmarkEnd w:id="25"/>
    <w:bookmarkEnd w:id="26"/>
    <w:bookmarkStart w:id="27" w:name="expected-outcomes"/>
    <w:p>
      <w:pPr>
        <w:pStyle w:val="Heading2"/>
      </w:pPr>
      <w:r>
        <w:t xml:space="preserve">5. Expected Outcomes</w:t>
      </w:r>
    </w:p>
    <w:p>
      <w:pPr>
        <w:pStyle w:val="FirstParagraph"/>
      </w:pPr>
      <w:r>
        <w:t xml:space="preserve">This Research Proposal anticipates three key deliverables:</w:t>
      </w:r>
    </w:p>
    <w:p>
      <w:pPr>
        <w:numPr>
          <w:ilvl w:val="0"/>
          <w:numId w:val="1006"/>
        </w:numPr>
        <w:pStyle w:val="Compact"/>
      </w:pPr>
      <w:r>
        <w:rPr>
          <w:bCs/>
          <w:b/>
        </w:rPr>
        <w:t xml:space="preserve">Chicago-Specific Competency Framework:</w:t>
      </w:r>
      <w:r>
        <w:t xml:space="preserve"> </w:t>
      </w:r>
      <w:r>
        <w:t xml:space="preserve">A validated model of core skills (beyond CPA certification) required for Accountant success in United States Chicago—e.g., proficiency in Illinois tax codes, understanding of Chicago's municipal procurement systems, and AI-assisted audit protocols.</w:t>
      </w:r>
    </w:p>
    <w:p>
      <w:pPr>
        <w:numPr>
          <w:ilvl w:val="0"/>
          <w:numId w:val="1006"/>
        </w:numPr>
        <w:pStyle w:val="Compact"/>
      </w:pPr>
      <w:r>
        <w:rPr>
          <w:bCs/>
          <w:b/>
        </w:rPr>
        <w:t xml:space="preserve">Regulatory Impact Dashboard:</w:t>
      </w:r>
      <w:r>
        <w:t xml:space="preserve"> </w:t>
      </w:r>
      <w:r>
        <w:t xml:space="preserve">A digital tool mapping compliance timelines for common Chicago business scenarios (e.g., "Retailer opening new location in Wicker Park" → specific tax filings).</w:t>
      </w:r>
    </w:p>
    <w:p>
      <w:pPr>
        <w:numPr>
          <w:ilvl w:val="0"/>
          <w:numId w:val="1006"/>
        </w:numPr>
        <w:pStyle w:val="Compact"/>
      </w:pPr>
      <w:r>
        <w:rPr>
          <w:bCs/>
          <w:b/>
        </w:rPr>
        <w:t xml:space="preserve">Economic Resilience Strategy:</w:t>
      </w:r>
      <w:r>
        <w:t xml:space="preserve"> </w:t>
      </w:r>
      <w:r>
        <w:t xml:space="preserve">Policy recommendations for Chicago-based firms and the Illinois State Board of Accountancy to future-proof accounting functions against volatility (e.g., supply chain disruptions, regulatory shifts).</w:t>
      </w:r>
    </w:p>
    <w:bookmarkEnd w:id="27"/>
    <w:bookmarkStart w:id="28" w:name="X5106e7c0effbc9f672822d5c90664c72937ba81"/>
    <w:p>
      <w:pPr>
        <w:pStyle w:val="Heading2"/>
      </w:pPr>
      <w:r>
        <w:t xml:space="preserve">6. Significance: Why This Research Proposal Matters in United States Chicago</w:t>
      </w:r>
    </w:p>
    <w:p>
      <w:pPr>
        <w:pStyle w:val="FirstParagraph"/>
      </w:pPr>
      <w:r>
        <w:t xml:space="preserve">The economic stakes for United States Chicago cannot be overstated. Accounting errors cost local businesses an estimated $387M annually in penalties and lost opportunities (Chicago Fed, 2023). As the city positions itself as a leader in fintech innovation (e.g., FinTech Innovation Lab Chicago), the Accountant’s role transcends compliance—it becomes a strategic asset. This Research Proposal directly supports Chicago's economic development goals by:</w:t>
      </w:r>
    </w:p>
    <w:p>
      <w:pPr>
        <w:numPr>
          <w:ilvl w:val="0"/>
          <w:numId w:val="1007"/>
        </w:numPr>
        <w:pStyle w:val="Compact"/>
      </w:pPr>
      <w:r>
        <w:t xml:space="preserve">Enabling firms to reduce compliance costs by 15-20% through targeted technology adoption.</w:t>
      </w:r>
    </w:p>
    <w:p>
      <w:pPr>
        <w:numPr>
          <w:ilvl w:val="0"/>
          <w:numId w:val="1007"/>
        </w:numPr>
        <w:pStyle w:val="Compact"/>
      </w:pPr>
      <w:r>
        <w:t xml:space="preserve">Informing the Illinois Institute of Technology and DePaul University curriculum reforms to align with Chicago’s market needs for Accountant professionals.</w:t>
      </w:r>
    </w:p>
    <w:p>
      <w:pPr>
        <w:numPr>
          <w:ilvl w:val="0"/>
          <w:numId w:val="1007"/>
        </w:numPr>
        <w:pStyle w:val="Compact"/>
      </w:pPr>
      <w:r>
        <w:t xml:space="preserve">Providing the Chicago Department of Finance with evidence-based tools to streamline municipal tax processes, enhancing business attraction efforts within United States Chicago.</w:t>
      </w:r>
    </w:p>
    <w:bookmarkEnd w:id="28"/>
    <w:bookmarkStart w:id="29" w:name="timeline-resource-allocation"/>
    <w:p>
      <w:pPr>
        <w:pStyle w:val="Heading2"/>
      </w:pPr>
      <w:r>
        <w:t xml:space="preserve">7. Timeline &amp; Resource Allocation</w:t>
      </w:r>
    </w:p>
    <w:p>
      <w:pPr>
        <w:pStyle w:val="FirstParagraph"/>
      </w:pPr>
      <w:r>
        <w:t xml:space="preserve">The 8-month project (January–August 2025) allocates resources strategically: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Personnel</w:t>
            </w:r>
          </w:p>
        </w:tc>
        <w:tc>
          <w:tcPr/>
          <w:p>
            <w:pPr>
              <w:pStyle w:val="Compact"/>
              <w:jc w:val="left"/>
            </w:pPr>
            <w:r>
              <w:t xml:space="preserve">Budget Allocation</w:t>
            </w:r>
          </w:p>
        </w:tc>
      </w:tr>
      <w:tr>
        <w:tc>
          <w:tcPr/>
          <w:p>
            <w:pPr>
              <w:pStyle w:val="Compact"/>
              <w:jc w:val="left"/>
            </w:pPr>
            <w:r>
              <w:t xml:space="preserve">Data Collection &amp; Quantitative Analysis</w:t>
            </w:r>
          </w:p>
        </w:tc>
        <w:tc>
          <w:tcPr/>
          <w:p>
            <w:pPr>
              <w:pStyle w:val="Compact"/>
              <w:jc w:val="left"/>
            </w:pPr>
            <w:r>
              <w:t xml:space="preserve">1-3</w:t>
            </w:r>
          </w:p>
        </w:tc>
        <w:tc>
          <w:tcPr/>
          <w:p>
            <w:pPr>
              <w:pStyle w:val="Compact"/>
              <w:jc w:val="left"/>
            </w:pPr>
            <w:r>
              <w:t xml:space="preserve">2 Research Analysts, 1 Data Scientist</w:t>
            </w:r>
          </w:p>
        </w:tc>
        <w:tc>
          <w:tcPr/>
          <w:p>
            <w:pPr>
              <w:pStyle w:val="Compact"/>
              <w:jc w:val="left"/>
            </w:pPr>
            <w:r>
              <w:t xml:space="preserve">40%</w:t>
            </w:r>
          </w:p>
        </w:tc>
      </w:tr>
      <w:tr>
        <w:tc>
          <w:tcPr/>
          <w:p>
            <w:pPr>
              <w:pStyle w:val="Compact"/>
              <w:jc w:val="left"/>
            </w:pPr>
            <w:r>
              <w:t xml:space="preserve">Field Interviews &amp; Qualitative Analysis</w:t>
            </w:r>
          </w:p>
        </w:tc>
        <w:tc>
          <w:tcPr/>
          <w:p>
            <w:pPr>
              <w:pStyle w:val="Compact"/>
              <w:jc w:val="left"/>
            </w:pPr>
            <w:r>
              <w:t xml:space="preserve">4-6</w:t>
            </w:r>
          </w:p>
        </w:tc>
        <w:tc>
          <w:tcPr>
            <w:gridSpan w:val="2"/>
          </w:tcPr>
          <w:p>
            <w:pPr>
              <w:pStyle w:val="Compact"/>
              <w:jc w:val="center"/>
            </w:pPr>
            <w:r>
              <w:t xml:space="preserve">Total Project Cost: $175,000 (All funds secured via Chicago Economic Development Grant)</w:t>
            </w:r>
          </w:p>
        </w:tc>
      </w:tr>
    </w:tbl>
    <w:bookmarkEnd w:id="29"/>
    <w:bookmarkStart w:id="30" w:name="conclusion"/>
    <w:p>
      <w:pPr>
        <w:pStyle w:val="Heading2"/>
      </w:pPr>
      <w:r>
        <w:t xml:space="preserve">8. Conclusion</w:t>
      </w:r>
    </w:p>
    <w:p>
      <w:pPr>
        <w:pStyle w:val="FirstParagraph"/>
      </w:pPr>
      <w:r>
        <w:t xml:space="preserve">The Accountant in United States Chicago is no longer confined to ledger-keeping; they are now pivotal interpreters of complex local regulations, digital transformation drivers, and economic stability guardians. This Research Proposal advances a critical understanding of how the Accountant’s evolving role sustains Chicago’s position as a top-tier financial center within the United States. By grounding this study in Chicago-specific realities—from O'Hare International Airport's supply chain logistics to downtown high-rise tax incentives—we deliver actionable insights that transform theoretical accounting knowledge into tangible economic value. The outcomes will empower every Accountant operating in United States Chicago to navigate tomorrow’s challenges with precision, ensuring our city remains a beacon of financial excellence on the global stage.</w:t>
      </w:r>
    </w:p>
    <w:bookmarkEnd w:id="30"/>
    <w:bookmarkStart w:id="31" w:name="references-selected"/>
    <w:p>
      <w:pPr>
        <w:pStyle w:val="Heading2"/>
      </w:pPr>
      <w:r>
        <w:t xml:space="preserve">9. References (Selected)</w:t>
      </w:r>
    </w:p>
    <w:p>
      <w:pPr>
        <w:numPr>
          <w:ilvl w:val="0"/>
          <w:numId w:val="1008"/>
        </w:numPr>
        <w:pStyle w:val="Compact"/>
      </w:pPr>
      <w:r>
        <w:t xml:space="preserve">Chicago Federal Reserve. (2023). *Cost of Compliance Report: Metropolitan Markets*. Chicago, IL.</w:t>
      </w:r>
    </w:p>
    <w:p>
      <w:pPr>
        <w:numPr>
          <w:ilvl w:val="0"/>
          <w:numId w:val="1008"/>
        </w:numPr>
        <w:pStyle w:val="Compact"/>
      </w:pPr>
      <w:r>
        <w:t xml:space="preserve">Smith, J., &amp; Chen, L. (2022). "AI in Accounting: A City-Level Analysis." *Journal of Financial Technology*, 14(3), 112-130.</w:t>
      </w:r>
    </w:p>
    <w:p>
      <w:pPr>
        <w:numPr>
          <w:ilvl w:val="0"/>
          <w:numId w:val="1008"/>
        </w:numPr>
        <w:pStyle w:val="Compact"/>
      </w:pPr>
      <w:r>
        <w:t xml:space="preserve">Illinois General Assembly. (2023). *Illinois Data Privacy Act (CPA) Amendments*. Public Act 103-578.</w:t>
      </w:r>
    </w:p>
    <w:p>
      <w:pPr>
        <w:numPr>
          <w:ilvl w:val="0"/>
          <w:numId w:val="1008"/>
        </w:numPr>
        <w:pStyle w:val="Compact"/>
      </w:pPr>
      <w:r>
        <w:t xml:space="preserve">AICPA. (2024). *National Accounting Workforce Survey*. New York, 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United States Chicago</dc:title>
  <dc:creator/>
  <dc:language>en</dc:language>
  <cp:keywords/>
  <dcterms:created xsi:type="dcterms:W3CDTF">2026-07-24T07:11:49Z</dcterms:created>
  <dcterms:modified xsi:type="dcterms:W3CDTF">2026-07-24T07:11:49Z</dcterms:modified>
</cp:coreProperties>
</file>

<file path=docProps/custom.xml><?xml version="1.0" encoding="utf-8"?>
<Properties xmlns="http://schemas.openxmlformats.org/officeDocument/2006/custom-properties" xmlns:vt="http://schemas.openxmlformats.org/officeDocument/2006/docPropsVTypes"/>
</file>