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1b2b45502e973df9db2a5d406402b4d56fe37a0"/>
    <w:p>
      <w:pPr>
        <w:pStyle w:val="Heading1"/>
      </w:pPr>
      <w:r>
        <w:t xml:space="preserve">Research Proposal: The Evolving Role of Accountants in United States Houston</w:t>
      </w:r>
    </w:p>
    <w:bookmarkStart w:id="20" w:name="introduction-and-background"/>
    <w:p>
      <w:pPr>
        <w:pStyle w:val="Heading2"/>
      </w:pPr>
      <w:r>
        <w:t xml:space="preserve">1. Introduction and Background</w:t>
      </w:r>
    </w:p>
    <w:p>
      <w:pPr>
        <w:pStyle w:val="FirstParagraph"/>
      </w:pPr>
      <w:r>
        <w:t xml:space="preserve">The accounting profession stands at a pivotal crossroads within the dynamic economic landscape of the United States Houston, Texas. As one of America's top 5 metropolitan economies with a GDP exceeding $600 billion, Houston serves as a critical hub for energy, healthcare, aerospace, and international trade. This research proposal examines the transformative role of the</w:t>
      </w:r>
      <w:r>
        <w:t xml:space="preserve"> </w:t>
      </w:r>
      <w:r>
        <w:rPr>
          <w:iCs/>
          <w:i/>
        </w:rPr>
        <w:t xml:space="preserve">Accountant</w:t>
      </w:r>
      <w:r>
        <w:t xml:space="preserve"> </w:t>
      </w:r>
      <w:r>
        <w:t xml:space="preserve">in navigating Houston's unique business ecosystem amid digital disruption, regulatory complexity, and economic diversification. The United States Houston market presents an unparalleled case study due to its concentration of Fortune 500 headquarters (including ExxonMobil, Chevron), diverse small-to-medium enterprises (SMEs), and growing tech startups—all demanding sophisticated financial stewardship. Current industry reports indicate a 24% increase in demand for specialized accounting services in Greater Houston since 2020, yet academic research on localized professional adaptation remains scarce.</w:t>
      </w:r>
    </w:p>
    <w:bookmarkEnd w:id="20"/>
    <w:bookmarkStart w:id="21" w:name="problem-statement"/>
    <w:p>
      <w:pPr>
        <w:pStyle w:val="Heading2"/>
      </w:pPr>
      <w:r>
        <w:t xml:space="preserve">2. Problem Statement</w:t>
      </w:r>
    </w:p>
    <w:p>
      <w:pPr>
        <w:pStyle w:val="FirstParagraph"/>
      </w:pPr>
      <w:r>
        <w:t xml:space="preserve">A critical gap exists between the evolving skill requirements of modern</w:t>
      </w:r>
      <w:r>
        <w:t xml:space="preserve"> </w:t>
      </w:r>
      <w:r>
        <w:rPr>
          <w:iCs/>
          <w:i/>
        </w:rPr>
        <w:t xml:space="preserve">Accountant</w:t>
      </w:r>
      <w:r>
        <w:t xml:space="preserve">s and the current educational/practical frameworks in United States Houston. Traditional accounting curricula often fail to address three pressing challenges: (1) integration of AI-driven financial analytics within Houston's energy sector, (2) compliance with Texas-specific regulations amid federal policy shifts, and (3) cultural competence required for managing international clients across Houston's 100+ nationalities. This disconnect risks creating a $42 million annual productivity deficit in local firms according to the Houston Association of Accounting Professionals (HAAP). Without targeted research, the</w:t>
      </w:r>
      <w:r>
        <w:t xml:space="preserve"> </w:t>
      </w:r>
      <w:r>
        <w:rPr>
          <w:iCs/>
          <w:i/>
        </w:rPr>
        <w:t xml:space="preserve">Accountant</w:t>
      </w:r>
      <w:r>
        <w:t xml:space="preserve">'s capacity to drive strategic value—beyond compliance—will diminish as Houston accelerates its transition into a knowledge-based economy.</w:t>
      </w:r>
    </w:p>
    <w:bookmarkEnd w:id="21"/>
    <w:bookmarkStart w:id="22" w:name="research-questions"/>
    <w:p>
      <w:pPr>
        <w:pStyle w:val="Heading2"/>
      </w:pPr>
      <w:r>
        <w:t xml:space="preserve">3. Research Questions</w:t>
      </w:r>
    </w:p>
    <w:p>
      <w:pPr>
        <w:numPr>
          <w:ilvl w:val="0"/>
          <w:numId w:val="1001"/>
        </w:numPr>
        <w:pStyle w:val="Compact"/>
      </w:pPr>
      <w:r>
        <w:t xml:space="preserve">How are Houston-based Accountants adapting financial reporting methodologies to accommodate volatile energy markets and ESG (Environmental, Social, Governance) mandates?</w:t>
      </w:r>
    </w:p>
    <w:p>
      <w:pPr>
        <w:numPr>
          <w:ilvl w:val="0"/>
          <w:numId w:val="1001"/>
        </w:numPr>
        <w:pStyle w:val="Compact"/>
      </w:pPr>
      <w:r>
        <w:t xml:space="preserve">What specific technical and soft skills gaps exist between Houston's accounting workforce and emerging industry demands?</w:t>
      </w:r>
    </w:p>
    <w:p>
      <w:pPr>
        <w:numPr>
          <w:ilvl w:val="0"/>
          <w:numId w:val="1001"/>
        </w:numPr>
        <w:pStyle w:val="Compact"/>
      </w:pPr>
      <w:r>
        <w:t xml:space="preserve">How does the unique regulatory environment of the United States Houston—combining state tax laws with federal standards—impact professional decision-making?</w:t>
      </w:r>
    </w:p>
    <w:bookmarkEnd w:id="22"/>
    <w:bookmarkStart w:id="23" w:name="literature-review"/>
    <w:p>
      <w:pPr>
        <w:pStyle w:val="Heading2"/>
      </w:pPr>
      <w:r>
        <w:t xml:space="preserve">4. Literature Review</w:t>
      </w:r>
    </w:p>
    <w:p>
      <w:pPr>
        <w:pStyle w:val="FirstParagraph"/>
      </w:pPr>
      <w:r>
        <w:t xml:space="preserve">Existing research focuses on national accounting trends (e.g., Deloitte's 2023 Global Accounting Survey) but overlooks hyperlocal factors. A 2021 study by the University of Houston found that 78% of Houston firms cited "regulatory navigation" as their top accounting challenge—significantly higher than the national average (63%). Conversely, no studies have analyzed how Houston's immigrant-driven business culture influences client-accountant relationships. This proposal bridges this gap by centering on United States Houston's socioeconomic context. Key theories guiding this research include Institutional Theory (to analyze regulatory adaptation) and Human Capital Development Frameworks (to assess skill evolution).</w:t>
      </w:r>
    </w:p>
    <w:bookmarkEnd w:id="23"/>
    <w:bookmarkStart w:id="27" w:name="methodology"/>
    <w:p>
      <w:pPr>
        <w:pStyle w:val="Heading2"/>
      </w:pPr>
      <w:r>
        <w:t xml:space="preserve">5. Methodology</w:t>
      </w:r>
    </w:p>
    <w:p>
      <w:pPr>
        <w:pStyle w:val="FirstParagraph"/>
      </w:pPr>
      <w:r>
        <w:t xml:space="preserve">This mixed-methods study employs a three-phase approach tailored to United States Houston's business environment:</w:t>
      </w:r>
    </w:p>
    <w:bookmarkStart w:id="24" w:name="phase-1-quantitative-survey-months-1-3"/>
    <w:p>
      <w:pPr>
        <w:pStyle w:val="Heading3"/>
      </w:pPr>
      <w:r>
        <w:t xml:space="preserve">Phase 1: Quantitative Survey (Months 1-3)</w:t>
      </w:r>
    </w:p>
    <w:p>
      <w:pPr>
        <w:numPr>
          <w:ilvl w:val="0"/>
          <w:numId w:val="1002"/>
        </w:numPr>
        <w:pStyle w:val="Compact"/>
      </w:pPr>
      <w:r>
        <w:t xml:space="preserve">Target: 500 licensed Accountants across Houston's major sectors (energy, healthcare, logistics)</w:t>
      </w:r>
    </w:p>
    <w:p>
      <w:pPr>
        <w:numPr>
          <w:ilvl w:val="0"/>
          <w:numId w:val="1002"/>
        </w:numPr>
        <w:pStyle w:val="Compact"/>
      </w:pPr>
      <w:r>
        <w:t xml:space="preserve">Instruments: Validated scales measuring AI literacy, regulatory compliance confidence, and strategic business acumen</w:t>
      </w:r>
    </w:p>
    <w:p>
      <w:pPr>
        <w:numPr>
          <w:ilvl w:val="0"/>
          <w:numId w:val="1002"/>
        </w:numPr>
        <w:pStyle w:val="Compact"/>
      </w:pPr>
      <w:r>
        <w:t xml:space="preserve">Data Source: HAAP membership database + Texas Board of Accountancy records</w:t>
      </w:r>
    </w:p>
    <w:bookmarkEnd w:id="24"/>
    <w:bookmarkStart w:id="25" w:name="Xd6b8350412f980094d139a0d76852d84cc5e1d0"/>
    <w:p>
      <w:pPr>
        <w:pStyle w:val="Heading3"/>
      </w:pPr>
      <w:r>
        <w:t xml:space="preserve">Phase 2: Qualitative Case Studies (Months 4-7)</w:t>
      </w:r>
    </w:p>
    <w:p>
      <w:pPr>
        <w:numPr>
          <w:ilvl w:val="0"/>
          <w:numId w:val="1003"/>
        </w:numPr>
        <w:pStyle w:val="Compact"/>
      </w:pPr>
      <w:r>
        <w:t xml:space="preserve">Conduct in-depth interviews with 25 senior Accountants at Houston-based firms (e.g., PwC Houston, local CPA practices)</w:t>
      </w:r>
    </w:p>
    <w:p>
      <w:pPr>
        <w:numPr>
          <w:ilvl w:val="0"/>
          <w:numId w:val="1003"/>
        </w:numPr>
        <w:pStyle w:val="Compact"/>
      </w:pPr>
      <w:r>
        <w:t xml:space="preserve">Analyze real-world scenarios: e.g., accounting for pandemic-era oil price crashes or cross-border transactions at the Port of Houston</w:t>
      </w:r>
    </w:p>
    <w:bookmarkEnd w:id="25"/>
    <w:bookmarkStart w:id="26" w:name="phase-3-policy-simulation-months-8-10"/>
    <w:p>
      <w:pPr>
        <w:pStyle w:val="Heading3"/>
      </w:pPr>
      <w:r>
        <w:t xml:space="preserve">Phase 3: Policy Simulation (Months 8-10)</w:t>
      </w:r>
    </w:p>
    <w:p>
      <w:pPr>
        <w:numPr>
          <w:ilvl w:val="0"/>
          <w:numId w:val="1004"/>
        </w:numPr>
        <w:pStyle w:val="Compact"/>
      </w:pPr>
      <w:r>
        <w:t xml:space="preserve">Develop a collaborative workshop with Texas Comptroller's Office and Houston Chamber of Commerce</w:t>
      </w:r>
    </w:p>
    <w:p>
      <w:pPr>
        <w:numPr>
          <w:ilvl w:val="0"/>
          <w:numId w:val="1004"/>
        </w:numPr>
        <w:pStyle w:val="Compact"/>
      </w:pPr>
      <w:r>
        <w:t xml:space="preserve">Create "Regulatory Adaptation Playbooks" for Houston-specific challenges (e.g., state tax implications for renewable energy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frameworks uniquely calibrated for United States Houston. Key deliverables include:</w:t>
      </w:r>
    </w:p>
    <w:p>
      <w:pPr>
        <w:numPr>
          <w:ilvl w:val="0"/>
          <w:numId w:val="1005"/>
        </w:numPr>
        <w:pStyle w:val="Compact"/>
      </w:pPr>
      <w:r>
        <w:rPr>
          <w:bCs/>
          <w:b/>
        </w:rPr>
        <w:t xml:space="preserve">A Houston Accounting Competency Matrix</w:t>
      </w:r>
      <w:r>
        <w:t xml:space="preserve">: Identifying 12 critical skills (e.g., blockchain for supply chain finance in energy logistics) beyond CPA certification</w:t>
      </w:r>
    </w:p>
    <w:p>
      <w:pPr>
        <w:numPr>
          <w:ilvl w:val="0"/>
          <w:numId w:val="1005"/>
        </w:numPr>
        <w:pStyle w:val="Compact"/>
      </w:pPr>
      <w:r>
        <w:rPr>
          <w:bCs/>
          <w:b/>
        </w:rPr>
        <w:t xml:space="preserve">Regulatory Navigation Toolkit</w:t>
      </w:r>
      <w:r>
        <w:t xml:space="preserve">: A digital guide addressing Texas-specific requirements (e.g., sales tax exemptions for aerospace suppliers)</w:t>
      </w:r>
    </w:p>
    <w:p>
      <w:pPr>
        <w:numPr>
          <w:ilvl w:val="0"/>
          <w:numId w:val="1005"/>
        </w:numPr>
        <w:pStyle w:val="Compact"/>
      </w:pPr>
      <w:r>
        <w:rPr>
          <w:bCs/>
          <w:b/>
        </w:rPr>
        <w:t xml:space="preserve">Strategic Advisory Framework</w:t>
      </w:r>
      <w:r>
        <w:t xml:space="preserve">: Demonstrating how Accountants can transition from compliance roles to value-creation partners in Houston's innovation economy</w:t>
      </w:r>
    </w:p>
    <w:p>
      <w:pPr>
        <w:pStyle w:val="FirstParagraph"/>
      </w:pPr>
      <w:r>
        <w:t xml:space="preserve">The significance extends beyond academia. For United States Houston, these outcomes could: (1) reduce operational costs for local businesses by 15-20% through optimized reporting, (2) position the city as a national benchmark for accounting innovation, and (3) inform curriculum development at University of Houston and Texas Southern University. Crucially, this</w:t>
      </w:r>
      <w:r>
        <w:t xml:space="preserve"> </w:t>
      </w:r>
      <w:r>
        <w:rPr>
          <w:iCs/>
          <w:i/>
        </w:rPr>
        <w:t xml:space="preserve">Research Proposal</w:t>
      </w:r>
      <w:r>
        <w:t xml:space="preserve"> </w:t>
      </w:r>
      <w:r>
        <w:t xml:space="preserve">directly addresses the talent gap threatening Houston's economic resilience—especially as it diversifies beyond oil into life sciences ($12 billion sector) and clean energy ($5.3 billion investment in 2023).</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Resources Required</w:t>
      </w:r>
    </w:p>
    <w:p>
      <w:pPr>
        <w:pStyle w:val="BodyText"/>
      </w:pPr>
      <w:r>
        <w:t xml:space="preserve">Data Collection Design</w:t>
      </w:r>
    </w:p>
    <w:p>
      <w:pPr>
        <w:pStyle w:val="BodyText"/>
      </w:pPr>
      <w:r>
        <w:t xml:space="preserve">Month 1-2</w:t>
      </w:r>
    </w:p>
    <w:p>
      <w:pPr>
        <w:pStyle w:val="BodyText"/>
      </w:pPr>
      <w:r>
        <w:t xml:space="preserve">Survey validation, IRB approval for Houston participants</w:t>
      </w:r>
    </w:p>
    <w:p>
      <w:pPr>
        <w:pStyle w:val="BodyText"/>
      </w:pPr>
      <w:r>
        <w:t xml:space="preserve">$8,500 (Survey tools, ethics review)</w:t>
      </w:r>
    </w:p>
    <w:p>
      <w:pPr>
        <w:pStyle w:val="BodyText"/>
      </w:pPr>
      <w:r>
        <w:t xml:space="preserve">Quantitative Analysis</w:t>
      </w:r>
    </w:p>
    <w:p>
      <w:pPr>
        <w:pStyle w:val="BodyText"/>
      </w:pPr>
      <w:r>
        <w:t xml:space="preserve">Month 3-4</w:t>
      </w:r>
    </w:p>
    <w:bookmarkEnd w:id="29"/>
    <w:bookmarkStart w:id="30" w:name="conclusion"/>
    <w:p>
      <w:pPr>
        <w:pStyle w:val="Heading2"/>
      </w:pPr>
      <w:r>
        <w:t xml:space="preserve">8. Conclusion</w:t>
      </w:r>
    </w:p>
    <w:p>
      <w:pPr>
        <w:pStyle w:val="FirstParagraph"/>
      </w:pPr>
      <w:r>
        <w:t xml:space="preserve">The trajectory of the modern Accountant in United States Houston transcends bookkeeping—it embodies strategic economic navigation in an era of unprecedented volatility. This research proposal establishes a rigorous foundation to transform how we understand and develop accounting talent within one of America's most dynamic cities. By centering on Houston's unique intersection of global business, regulatory complexity, and cultural diversity, this</w:t>
      </w:r>
      <w:r>
        <w:t xml:space="preserve"> </w:t>
      </w:r>
      <w:r>
        <w:rPr>
          <w:iCs/>
          <w:i/>
        </w:rPr>
        <w:t xml:space="preserve">Research Proposal</w:t>
      </w:r>
      <w:r>
        <w:t xml:space="preserve"> </w:t>
      </w:r>
      <w:r>
        <w:t xml:space="preserve">will deliver actionable intelligence that directly serves the city’s economic engine. The findings will empower Accountants to move beyond compliance toward becoming indispensable architects of Houston’s sustainable growth—ensuring that as the United States Houston economy evolves, its financial stewards evolve with it. Ultimately, this work promises not merely academic contribution but tangible economic value for a region where every accounting decision resonates across the Gulf Coast and beyond.</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United States Houston</dc:title>
  <dc:creator/>
  <dc:language>en</dc:language>
  <cp:keywords/>
  <dcterms:created xsi:type="dcterms:W3CDTF">2025-12-13T09:59:25Z</dcterms:created>
  <dcterms:modified xsi:type="dcterms:W3CDTF">2025-12-13T09:59:25Z</dcterms:modified>
</cp:coreProperties>
</file>

<file path=docProps/custom.xml><?xml version="1.0" encoding="utf-8"?>
<Properties xmlns="http://schemas.openxmlformats.org/officeDocument/2006/custom-properties" xmlns:vt="http://schemas.openxmlformats.org/officeDocument/2006/docPropsVTypes"/>
</file>