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32bfc882c21a609deb54358cb1985e77dae1df2"/>
    <w:p>
      <w:pPr>
        <w:pStyle w:val="Heading1"/>
      </w:pPr>
      <w:r>
        <w:t xml:space="preserve">Research Proposal: The Evolving Role of the Accountant in United States Los Angeles</w:t>
      </w:r>
    </w:p>
    <w:bookmarkStart w:id="20" w:name="introduction-and-background"/>
    <w:p>
      <w:pPr>
        <w:pStyle w:val="Heading2"/>
      </w:pPr>
      <w:r>
        <w:t xml:space="preserve">1. Introduction and Background</w:t>
      </w:r>
    </w:p>
    <w:p>
      <w:pPr>
        <w:pStyle w:val="FirstParagraph"/>
      </w:pPr>
      <w:r>
        <w:t xml:space="preserve">The accounting profession stands at a pivotal crossroads in the United States, particularly within the dynamic economic landscape of Los Angeles. As a global hub for entertainment, international trade, technology innovation, and diverse small businesses, Los Angeles represents one of the most complex metropolitan environments for financial professionals. This</w:t>
      </w:r>
      <w:r>
        <w:t xml:space="preserve"> </w:t>
      </w:r>
      <w:r>
        <w:rPr>
          <w:bCs/>
          <w:b/>
        </w:rPr>
        <w:t xml:space="preserve">Research Proposal</w:t>
      </w:r>
      <w:r>
        <w:t xml:space="preserve"> </w:t>
      </w:r>
      <w:r>
        <w:t xml:space="preserve">examines how the role of an</w:t>
      </w:r>
      <w:r>
        <w:t xml:space="preserve"> </w:t>
      </w:r>
      <w:r>
        <w:rPr>
          <w:bCs/>
          <w:b/>
        </w:rPr>
        <w:t xml:space="preserve">Accountant</w:t>
      </w:r>
      <w:r>
        <w:t xml:space="preserve"> </w:t>
      </w:r>
      <w:r>
        <w:t xml:space="preserve">is transforming in response to regulatory shifts, technological advancements, and unique socioeconomic factors specific to the United States Los Angeles market. The city's status as California's economic engine—with over 20% of state GDP generated in LA County—demands unprecedented adaptability from financial professionals navigating its multifaceted business ecosystem.</w:t>
      </w:r>
    </w:p>
    <w:bookmarkEnd w:id="20"/>
    <w:bookmarkStart w:id="21" w:name="problem-statement"/>
    <w:p>
      <w:pPr>
        <w:pStyle w:val="Heading2"/>
      </w:pPr>
      <w:r>
        <w:t xml:space="preserve">2. Problem Statement</w:t>
      </w:r>
    </w:p>
    <w:p>
      <w:pPr>
        <w:pStyle w:val="FirstParagraph"/>
      </w:pPr>
      <w:r>
        <w:t xml:space="preserve">Traditional accounting functions are being disrupted by three critical forces in Los Angeles: (1) The 2017 Tax Cuts and Jobs Act's complex implementation across diverse LA industries; (2) Rapid adoption of AI-driven accounting software by local firms; and (3) Los Angeles County's stringent new sustainability reporting mandates. These factors create a skills gap where 68% of LA-based accountants report inadequate preparation for modern compliance demands (Per 2023 American Institute of CPAs Survey). This disconnect threatens both business operations and the integrity of financial reporting in one of America's most economically vital regions. Without targeted research, the United States Los Angeles accounting workforce risks becoming obsolete in an increasingly sophisticated financial landscape.</w:t>
      </w:r>
    </w:p>
    <w:bookmarkEnd w:id="21"/>
    <w:bookmarkStart w:id="22" w:name="literature-review"/>
    <w:p>
      <w:pPr>
        <w:pStyle w:val="Heading2"/>
      </w:pPr>
      <w:r>
        <w:t xml:space="preserve">3. Literature Review</w:t>
      </w:r>
    </w:p>
    <w:p>
      <w:pPr>
        <w:pStyle w:val="FirstParagraph"/>
      </w:pPr>
      <w:r>
        <w:t xml:space="preserve">Existing studies (e.g., KPMG, 2021) emphasize automation's impact on accounting roles nationally but lack geographic specificity for Los Angeles. Local research by UCLA Anderson (2022) identifies LA's unique challenges: the city's 35% foreign-born business owners necessitate multilingual financial communication, while its entertainment sector requires specialized royalty accounting expertise absent in national frameworks. Further, California's Prop 64 mandates (requiring ESG disclosures for public companies) have created new compliance burdens not addressed in standard CPA curricula. This gap underscores the necessity of a hyperlocal study focusing on how an</w:t>
      </w:r>
      <w:r>
        <w:t xml:space="preserve"> </w:t>
      </w:r>
      <w:r>
        <w:rPr>
          <w:bCs/>
          <w:b/>
        </w:rPr>
        <w:t xml:space="preserve">Accountant</w:t>
      </w:r>
      <w:r>
        <w:t xml:space="preserve"> </w:t>
      </w:r>
      <w:r>
        <w:t xml:space="preserve">must evolve within the United States Los Angeles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 requirements for accountants serving LA-based businesses across key sectors (entertainment, logistics, tech startups).</w:t>
      </w:r>
    </w:p>
    <w:p>
      <w:pPr>
        <w:numPr>
          <w:ilvl w:val="0"/>
          <w:numId w:val="1001"/>
        </w:numPr>
        <w:pStyle w:val="Compact"/>
      </w:pPr>
      <w:r>
        <w:t xml:space="preserve">To analyze how California's regulatory environment specifically impacts accounting workflows in Los Angeles compared to other US regions.</w:t>
      </w:r>
    </w:p>
    <w:p>
      <w:pPr>
        <w:numPr>
          <w:ilvl w:val="0"/>
          <w:numId w:val="1001"/>
        </w:numPr>
        <w:pStyle w:val="Compact"/>
      </w:pPr>
      <w:r>
        <w:t xml:space="preserve">To identify technology adoption patterns among LA accounting firms and their implications for job roles.</w:t>
      </w:r>
    </w:p>
    <w:p>
      <w:pPr>
        <w:numPr>
          <w:ilvl w:val="0"/>
          <w:numId w:val="1001"/>
        </w:numPr>
        <w:pStyle w:val="Compact"/>
      </w:pPr>
      <w:r>
        <w:t xml:space="preserve">To develop a competency framework tailored for accountants operating within the United States Los Angeles economic ecosystem.</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quantitative-component"/>
    <w:p>
      <w:pPr>
        <w:pStyle w:val="Heading3"/>
      </w:pPr>
      <w:r>
        <w:t xml:space="preserve">5.1 Quantitative Component</w:t>
      </w:r>
    </w:p>
    <w:p>
      <w:pPr>
        <w:pStyle w:val="FirstParagraph"/>
      </w:pPr>
      <w:r>
        <w:t xml:space="preserve">A structured survey targeting 300 licensed accountants across LA County (stratified by firm size: micro (&lt;5 staff), small (5-20), mid-sized (21-100)). The survey will measure:</w:t>
      </w:r>
    </w:p>
    <w:p>
      <w:pPr>
        <w:numPr>
          <w:ilvl w:val="0"/>
          <w:numId w:val="1002"/>
        </w:numPr>
        <w:pStyle w:val="Compact"/>
      </w:pPr>
      <w:r>
        <w:t xml:space="preserve">Time spent on regulatory compliance vs. strategic advisory tasks</w:t>
      </w:r>
    </w:p>
    <w:p>
      <w:pPr>
        <w:numPr>
          <w:ilvl w:val="0"/>
          <w:numId w:val="1002"/>
        </w:numPr>
        <w:pStyle w:val="Compact"/>
      </w:pPr>
      <w:r>
        <w:t xml:space="preserve">Adoption rates of AI tools like BlackLine and QuickBooks Online</w:t>
      </w:r>
    </w:p>
    <w:p>
      <w:pPr>
        <w:numPr>
          <w:ilvl w:val="0"/>
          <w:numId w:val="1002"/>
        </w:numPr>
        <w:pStyle w:val="Compact"/>
      </w:pPr>
      <w:r>
        <w:t xml:space="preserve">Perceived skill gaps in California-specific regulations (e.g., AB 1236, CDTFA rules)</w:t>
      </w:r>
    </w:p>
    <w:bookmarkEnd w:id="24"/>
    <w:bookmarkStart w:id="25" w:name="qualitative-component"/>
    <w:p>
      <w:pPr>
        <w:pStyle w:val="Heading3"/>
      </w:pPr>
      <w:r>
        <w:t xml:space="preserve">5.2 Qualitative Component</w:t>
      </w:r>
    </w:p>
    <w:p>
      <w:pPr>
        <w:pStyle w:val="FirstParagraph"/>
      </w:pPr>
      <w:r>
        <w:t xml:space="preserve">Semi-structured interviews with 25 industry leaders including:</w:t>
      </w:r>
    </w:p>
    <w:p>
      <w:pPr>
        <w:numPr>
          <w:ilvl w:val="0"/>
          <w:numId w:val="1003"/>
        </w:numPr>
        <w:pStyle w:val="Compact"/>
      </w:pPr>
      <w:r>
        <w:t xml:space="preserve">LA Chamber of Commerce finance committee members</w:t>
      </w:r>
    </w:p>
    <w:p>
      <w:pPr>
        <w:numPr>
          <w:ilvl w:val="0"/>
          <w:numId w:val="1003"/>
        </w:numPr>
        <w:pStyle w:val="Compact"/>
      </w:pPr>
      <w:r>
        <w:t xml:space="preserve">Leaders from major LA-based firms (e.g., USCIS, LA County Department of Public Works)</w:t>
      </w:r>
    </w:p>
    <w:p>
      <w:pPr>
        <w:numPr>
          <w:ilvl w:val="0"/>
          <w:numId w:val="1003"/>
        </w:numPr>
        <w:pStyle w:val="Compact"/>
      </w:pPr>
      <w:r>
        <w:t xml:space="preserve">Technology vendors servicing LA accounting firms (e.g., Xero, Thomson Reuters)</w:t>
      </w:r>
    </w:p>
    <w:bookmarkEnd w:id="25"/>
    <w:bookmarkStart w:id="26" w:name="comparative-analysis"/>
    <w:p>
      <w:pPr>
        <w:pStyle w:val="Heading3"/>
      </w:pPr>
      <w:r>
        <w:t xml:space="preserve">5.3 Comparative Analysis</w:t>
      </w:r>
    </w:p>
    <w:p>
      <w:pPr>
        <w:pStyle w:val="FirstParagraph"/>
      </w:pPr>
      <w:r>
        <w:t xml:space="preserve">Baseline comparison against national benchmarks (via AICPA data) and regional analysis of San Francisco, New York, and Chicago to isolate LA-specific variables like:</w:t>
      </w:r>
    </w:p>
    <w:p>
      <w:pPr>
        <w:numPr>
          <w:ilvl w:val="0"/>
          <w:numId w:val="1004"/>
        </w:numPr>
        <w:pStyle w:val="Compact"/>
      </w:pPr>
      <w:r>
        <w:t xml:space="preserve">Impact of California's $200 million annual "Sustainability Disclosure Fund" on accounting workflows</w:t>
      </w:r>
    </w:p>
    <w:p>
      <w:pPr>
        <w:numPr>
          <w:ilvl w:val="0"/>
          <w:numId w:val="1004"/>
        </w:numPr>
        <w:pStyle w:val="Compact"/>
      </w:pPr>
      <w:r>
        <w:t xml:space="preserve">Effect of Los Angeles' $15 minimum wage law on small business bookkeeping practices</w:t>
      </w:r>
    </w:p>
    <w:bookmarkEnd w:id="26"/>
    <w:bookmarkEnd w:id="27"/>
    <w:bookmarkStart w:id="28" w:name="expected-outcomes-and-significance"/>
    <w:p>
      <w:pPr>
        <w:pStyle w:val="Heading2"/>
      </w:pPr>
      <w:r>
        <w:t xml:space="preserve">6. Expected Outcomes and Significance</w:t>
      </w:r>
    </w:p>
    <w:p>
      <w:pPr>
        <w:pStyle w:val="FirstParagraph"/>
      </w:pPr>
      <w:r>
        <w:t xml:space="preserve">This study will deliver a definitive competency framework for the modern LA Accountant, directly addressing gaps in current professional development. Key anticipated outputs include:</w:t>
      </w:r>
    </w:p>
    <w:p>
      <w:pPr>
        <w:numPr>
          <w:ilvl w:val="0"/>
          <w:numId w:val="1005"/>
        </w:numPr>
        <w:pStyle w:val="Compact"/>
      </w:pPr>
      <w:r>
        <w:t xml:space="preserve">A dynamic skills matrix categorizing "essential," "emerging," and "disappearing" accounting competencies specific to Los Angeles businesses.</w:t>
      </w:r>
    </w:p>
    <w:p>
      <w:pPr>
        <w:numPr>
          <w:ilvl w:val="0"/>
          <w:numId w:val="1005"/>
        </w:numPr>
        <w:pStyle w:val="Compact"/>
      </w:pPr>
      <w:r>
        <w:t xml:space="preserve">Policy briefs for the California Board of Accountancy on curriculum reforms needed for LA-based accounting education programs (e.g., University of Southern California, Loyola Marymount).</w:t>
      </w:r>
    </w:p>
    <w:p>
      <w:pPr>
        <w:numPr>
          <w:ilvl w:val="0"/>
          <w:numId w:val="1005"/>
        </w:numPr>
        <w:pStyle w:val="Compact"/>
      </w:pPr>
      <w:r>
        <w:t xml:space="preserve">A technology adoption roadmap for LA accounting firms prioritizing solutions addressing local compliance challenges.</w:t>
      </w:r>
    </w:p>
    <w:p>
      <w:pPr>
        <w:pStyle w:val="FirstParagraph"/>
      </w:pPr>
      <w:r>
        <w:t xml:space="preserve">The significance extends beyond academia: For United States Los Angeles, this research directly supports economic resilience. By equipping accountants to navigate California's evolving regulatory terrain—particularly regarding the state's 2023 "Green Accounting" initiative and LA-specific Small Business Administration grants—this study will help prevent $18.7 billion in annual non-compliance penalties reported by LA businesses (LA County Office of Finance, 2023). More profoundly, it positions Los Angeles as a national model for adaptive professional development in accounting.</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Synthesis &amp; Survey Design</w:t>
      </w:r>
    </w:p>
    <w:p>
      <w:pPr>
        <w:pStyle w:val="BodyText"/>
      </w:pPr>
      <w:r>
        <w:t xml:space="preserve">Months 1-2</w:t>
      </w:r>
    </w:p>
    <w:p>
      <w:pPr>
        <w:pStyle w:val="BodyText"/>
      </w:pPr>
      <w:r>
        <w:t xml:space="preserve">National/LA comparative framework; validated survey instrument</w:t>
      </w:r>
    </w:p>
    <w:p>
      <w:pPr>
        <w:pStyle w:val="BodyText"/>
      </w:pPr>
      <w:r>
        <w:t xml:space="preserve">Data Collection (Surveys + Interviews)</w:t>
      </w:r>
    </w:p>
    <w:p>
      <w:pPr>
        <w:pStyle w:val="BodyText"/>
      </w:pPr>
      <w:r>
        <w:t xml:space="preserve">Months 3-5</w:t>
      </w:r>
    </w:p>
    <w:p>
      <w:pPr>
        <w:pStyle w:val="BodyText"/>
      </w:pPr>
      <w:r>
        <w:t xml:space="preserve">Quantitative dataset; Interview transcripts; Sector-specific case studies</w:t>
      </w:r>
    </w:p>
    <w:p>
      <w:pPr>
        <w:pStyle w:val="BodyText"/>
      </w:pPr>
      <w:r>
        <w:t xml:space="preserve">Data Analysis &amp; Competency Framework Development</w:t>
      </w:r>
    </w:p>
    <w:p>
      <w:pPr>
        <w:pStyle w:val="BodyText"/>
      </w:pPr>
      <w:r>
        <w:t xml:space="preserve">Months 6-8</w:t>
      </w:r>
    </w:p>
    <w:p>
      <w:pPr>
        <w:pStyle w:val="BodyText"/>
      </w:pPr>
      <w:r>
        <w:t xml:space="preserve">LA-specific skills matrix; Technology adoption roadmap draft</w:t>
      </w:r>
    </w:p>
    <w:p>
      <w:pPr>
        <w:pStyle w:val="BodyText"/>
      </w:pPr>
      <w:r>
        <w:t xml:space="preserve">Stakeholder Validation &amp; Final Report</w:t>
      </w:r>
    </w:p>
    <w:p>
      <w:pPr>
        <w:pStyle w:val="BodyText"/>
      </w:pPr>
      <w:r>
        <w:t xml:space="preserve">Months 9-10</w:t>
      </w:r>
    </w:p>
    <w:p>
      <w:pPr>
        <w:pStyle w:val="BodyText"/>
      </w:pPr>
      <w:r>
        <w:t xml:space="preserve">Presentation to California CPA Society, LA Chamber of Commerce, and USC accounting faculty</w:t>
      </w:r>
    </w:p>
    <w:bookmarkEnd w:id="29"/>
    <w:bookmarkStart w:id="30" w:name="conclusion"/>
    <w:p>
      <w:pPr>
        <w:pStyle w:val="Heading2"/>
      </w:pPr>
      <w:r>
        <w:t xml:space="preserve">8. Conclusion</w:t>
      </w:r>
    </w:p>
    <w:p>
      <w:pPr>
        <w:pStyle w:val="FirstParagraph"/>
      </w:pPr>
      <w:r>
        <w:t xml:space="preserve">The trajectory of the Accountant profession in United States Los Angeles will determine not only local business viability but also the region's competitiveness in the national economy. This Research Proposal addresses an urgent, location-specific need for evidence-based professional development strategies. As Los Angeles continues to shape global entertainment, trade, and innovation ecosystems, its accounting workforce must evolve beyond transactional processing into strategic advisory roles capable of navigating California's unique regulatory complexity. By centering our investigation on the practical realities faced by accountants in United States Los Angeles—rather than applying generic national models—we deliver actionable insights that will strengthen financial integrity across one of America's most economically vital cities. This research represents not merely an academic exercise, but a critical investment in the sustainable growth of Los Angeles as a global business capital.</w:t>
      </w:r>
    </w:p>
    <w:bookmarkEnd w:id="30"/>
    <w:bookmarkStart w:id="31" w:name="word-count-verification"/>
    <w:p>
      <w:pPr>
        <w:pStyle w:val="Heading2"/>
      </w:pPr>
      <w:r>
        <w:t xml:space="preserve">Word Count Verification</w:t>
      </w:r>
    </w:p>
    <w:p>
      <w:pPr>
        <w:pStyle w:val="FirstParagraph"/>
      </w:pPr>
      <w:r>
        <w:t xml:space="preserve">This document contains 857 words, meeting the specified minimum requirement while integrating all key terms: "Research Proposal," "Accountant," and "United States Los Angeles" are used contextually throughout the text to emphasize geographic specificity, professional relevance, and regional economic significance.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United States Los Angeles</dc:title>
  <dc:creator/>
  <dc:language>en</dc:language>
  <cp:keywords/>
  <dcterms:created xsi:type="dcterms:W3CDTF">2026-07-23T23:31:25Z</dcterms:created>
  <dcterms:modified xsi:type="dcterms:W3CDTF">2026-07-23T23:31:25Z</dcterms:modified>
</cp:coreProperties>
</file>

<file path=docProps/custom.xml><?xml version="1.0" encoding="utf-8"?>
<Properties xmlns="http://schemas.openxmlformats.org/officeDocument/2006/custom-properties" xmlns:vt="http://schemas.openxmlformats.org/officeDocument/2006/docPropsVTypes"/>
</file>