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Economic</w:t>
      </w:r>
      <w:r>
        <w:t xml:space="preserve"> </w:t>
      </w:r>
      <w:r>
        <w:t xml:space="preserve">Landscape</w:t>
      </w:r>
    </w:p>
    <w:bookmarkStart w:id="29" w:name="Xe7dc144d90dbab7c9072809dacfb0a9cfba5603"/>
    <w:p>
      <w:pPr>
        <w:pStyle w:val="Heading1"/>
      </w:pPr>
      <w:r>
        <w:t xml:space="preserve">Research Proposal: The Evolving Role of Accountants in United States Miami's Economic Landscape</w:t>
      </w:r>
    </w:p>
    <w:bookmarkStart w:id="20" w:name="introduction"/>
    <w:p>
      <w:pPr>
        <w:pStyle w:val="Heading2"/>
      </w:pPr>
      <w:r>
        <w:t xml:space="preserve">1. Introduction</w:t>
      </w:r>
    </w:p>
    <w:p>
      <w:pPr>
        <w:pStyle w:val="FirstParagraph"/>
      </w:pPr>
      <w:r>
        <w:t xml:space="preserve">The accounting profession stands as a critical pillar within the economic infrastructure of the United States, with Miami serving as a vibrant financial hub for international trade, tourism, and multinational corporations. As an emerging center for Latin American business operations and a major port city, Miami's unique economic ecosystem demands sophisticated financial expertise. This</w:t>
      </w:r>
      <w:r>
        <w:t xml:space="preserve"> </w:t>
      </w:r>
      <w:r>
        <w:rPr>
          <w:bCs/>
          <w:b/>
        </w:rPr>
        <w:t xml:space="preserve">Research Proposal</w:t>
      </w:r>
      <w:r>
        <w:t xml:space="preserve"> </w:t>
      </w:r>
      <w:r>
        <w:t xml:space="preserve">investigates the transformative role of the modern</w:t>
      </w:r>
      <w:r>
        <w:t xml:space="preserve"> </w:t>
      </w:r>
      <w:r>
        <w:rPr>
          <w:bCs/>
          <w:b/>
        </w:rPr>
        <w:t xml:space="preserve">Accountant</w:t>
      </w:r>
      <w:r>
        <w:t xml:space="preserve"> </w:t>
      </w:r>
      <w:r>
        <w:t xml:space="preserve">in the context of</w:t>
      </w:r>
      <w:r>
        <w:t xml:space="preserve"> </w:t>
      </w:r>
      <w:r>
        <w:rPr>
          <w:bCs/>
          <w:b/>
        </w:rPr>
        <w:t xml:space="preserve">United States Miami</w:t>
      </w:r>
      <w:r>
        <w:t xml:space="preserve">, examining how evolving regulatory frameworks, technological disruptions, and global market dynamics are reshaping professional expectations. With over 120,000 accounting professionals employed across South Florida and Miami's status as a top-15 U.S. metropolitan area for financial services employment (BLS 2023), understanding this shift is paramount for educational institutions, corporate entities, and policymakers in</w:t>
      </w:r>
      <w:r>
        <w:t xml:space="preserve"> </w:t>
      </w:r>
      <w:r>
        <w:rPr>
          <w:bCs/>
          <w:b/>
        </w:rPr>
        <w:t xml:space="preserve">United States Miami</w:t>
      </w:r>
      <w:r>
        <w:t xml:space="preserve">.</w:t>
      </w:r>
    </w:p>
    <w:bookmarkEnd w:id="20"/>
    <w:bookmarkStart w:id="21" w:name="Xf372b089e8e6d214e89394c5190d75e2f1a989b"/>
    <w:p>
      <w:pPr>
        <w:pStyle w:val="Heading2"/>
      </w:pPr>
      <w:r>
        <w:t xml:space="preserve">2. Literature Review: Gaps in Current Accounting Research</w:t>
      </w:r>
    </w:p>
    <w:p>
      <w:pPr>
        <w:pStyle w:val="FirstParagraph"/>
      </w:pPr>
      <w:r>
        <w:t xml:space="preserve">Existing scholarship predominantly focuses on national accounting trends (e.g., PCAOB compliance or tax code changes) but neglects hyper-localized studies of regional economic ecosystems like Miami. While studies by the American Institute of CPAs (AICPA) acknowledge Miami's growth, they lack granular analysis of how factors such as the influx of Venezuelan and Cuban entrepreneurs, cryptocurrency regulations under Florida's 2023 blockchain framework, or hurricane resilience accounting impact daily practice. This research bridges that gap by centering on</w:t>
      </w:r>
      <w:r>
        <w:t xml:space="preserve"> </w:t>
      </w:r>
      <w:r>
        <w:rPr>
          <w:bCs/>
          <w:b/>
        </w:rPr>
        <w:t xml:space="preserve">United States Miami</w:t>
      </w:r>
      <w:r>
        <w:t xml:space="preserve"> </w:t>
      </w:r>
      <w:r>
        <w:t xml:space="preserve">as a case study where traditional accounting intersects with unique geopolitical and environmental challenges. Current literature fails to address how the</w:t>
      </w:r>
      <w:r>
        <w:t xml:space="preserve"> </w:t>
      </w:r>
      <w:r>
        <w:rPr>
          <w:bCs/>
          <w:b/>
        </w:rPr>
        <w:t xml:space="preserve">Accountant</w:t>
      </w:r>
      <w:r>
        <w:t xml:space="preserve">'s role has evolved beyond bookkeeping to encompass strategic advisory functions in volatile emerging markets—a critical need for businesses navigating Miami's dynamic economy.</w:t>
      </w:r>
    </w:p>
    <w:bookmarkEnd w:id="21"/>
    <w:bookmarkStart w:id="22" w:name="research-objectives"/>
    <w:p>
      <w:pPr>
        <w:pStyle w:val="Heading2"/>
      </w:pPr>
      <w:r>
        <w:t xml:space="preserve">3. Research Objectives</w:t>
      </w:r>
    </w:p>
    <w:p>
      <w:pPr>
        <w:numPr>
          <w:ilvl w:val="0"/>
          <w:numId w:val="1001"/>
        </w:numPr>
        <w:pStyle w:val="Compact"/>
      </w:pPr>
      <w:r>
        <w:t xml:space="preserve">To analyze the shift in core competencies required of an</w:t>
      </w:r>
      <w:r>
        <w:t xml:space="preserve"> </w:t>
      </w:r>
      <w:r>
        <w:rPr>
          <w:bCs/>
          <w:b/>
        </w:rPr>
        <w:t xml:space="preserve">Accountant</w:t>
      </w:r>
      <w:r>
        <w:t xml:space="preserve"> </w:t>
      </w:r>
      <w:r>
        <w:t xml:space="preserve">in Miami’s business environment from 2018–2024, including technology adoption (AI tools, blockchain) and cross-cultural communication skills.</w:t>
      </w:r>
    </w:p>
    <w:p>
      <w:pPr>
        <w:numPr>
          <w:ilvl w:val="0"/>
          <w:numId w:val="1001"/>
        </w:numPr>
        <w:pStyle w:val="Compact"/>
      </w:pPr>
      <w:r>
        <w:t xml:space="preserve">To quantify the economic impact of specialized accounting services (e.g., international tax compliance for Latin American clients) on Miami-based firms’ revenue growth.</w:t>
      </w:r>
    </w:p>
    <w:p>
      <w:pPr>
        <w:numPr>
          <w:ilvl w:val="0"/>
          <w:numId w:val="1001"/>
        </w:numPr>
        <w:pStyle w:val="Compact"/>
      </w:pPr>
      <w:r>
        <w:t xml:space="preserve">To identify regulatory barriers hindering the</w:t>
      </w:r>
      <w:r>
        <w:t xml:space="preserve"> </w:t>
      </w:r>
      <w:r>
        <w:rPr>
          <w:bCs/>
          <w:b/>
        </w:rPr>
        <w:t xml:space="preserve">Accountant</w:t>
      </w:r>
      <w:r>
        <w:t xml:space="preserve">'s ability to provide value-added services in Miami’s rapidly evolving real estate and hospitality sectors.</w:t>
      </w:r>
    </w:p>
    <w:p>
      <w:pPr>
        <w:numPr>
          <w:ilvl w:val="0"/>
          <w:numId w:val="1001"/>
        </w:numPr>
        <w:pStyle w:val="Compact"/>
      </w:pPr>
      <w:r>
        <w:t xml:space="preserve">To develop a competency framework tailored for accountants serving the unique needs of</w:t>
      </w:r>
      <w:r>
        <w:t xml:space="preserve"> </w:t>
      </w:r>
      <w:r>
        <w:rPr>
          <w:bCs/>
          <w:b/>
        </w:rPr>
        <w:t xml:space="preserve">United States Miami</w:t>
      </w:r>
      <w:r>
        <w:t xml:space="preserve">'s multicultural business community.</w:t>
      </w:r>
    </w:p>
    <w:bookmarkEnd w:id="22"/>
    <w:bookmarkStart w:id="23" w:name="methodology"/>
    <w:p>
      <w:pPr>
        <w:pStyle w:val="Heading2"/>
      </w:pPr>
      <w:r>
        <w:t xml:space="preserve">4. Methodology</w:t>
      </w:r>
    </w:p>
    <w:p>
      <w:pPr>
        <w:pStyle w:val="FirstParagraph"/>
      </w:pPr>
      <w:r>
        <w:t xml:space="preserve">This mixed-methods study employs three sequential phases:</w:t>
      </w:r>
    </w:p>
    <w:p>
      <w:pPr>
        <w:numPr>
          <w:ilvl w:val="0"/>
          <w:numId w:val="1002"/>
        </w:numPr>
        <w:pStyle w:val="Compact"/>
      </w:pPr>
      <w:r>
        <w:rPr>
          <w:iCs/>
          <w:i/>
        </w:rPr>
        <w:t xml:space="preserve">Phase 1: Quantitative Analysis</w:t>
      </w:r>
      <w:r>
        <w:t xml:space="preserve"> </w:t>
      </w:r>
      <w:r>
        <w:t xml:space="preserve">– Surveys distributed to 300+ certified public accountants (CPAs) across Miami-Dade County through the Florida Institute of CPAs, measuring skill evolution via Likert-scale assessments and correlation with firm performance metrics.</w:t>
      </w:r>
    </w:p>
    <w:p>
      <w:pPr>
        <w:numPr>
          <w:ilvl w:val="0"/>
          <w:numId w:val="1002"/>
        </w:numPr>
        <w:pStyle w:val="Compact"/>
      </w:pPr>
      <w:r>
        <w:rPr>
          <w:iCs/>
          <w:i/>
        </w:rPr>
        <w:t xml:space="preserve">Phase 2: Qualitative Deep Dives</w:t>
      </w:r>
      <w:r>
        <w:t xml:space="preserve"> </w:t>
      </w:r>
      <w:r>
        <w:t xml:space="preserve">– Semi-structured interviews with 25 senior</w:t>
      </w:r>
      <w:r>
        <w:t xml:space="preserve"> </w:t>
      </w:r>
      <w:r>
        <w:rPr>
          <w:bCs/>
          <w:b/>
        </w:rPr>
        <w:t xml:space="preserve">Accountant</w:t>
      </w:r>
      <w:r>
        <w:t xml:space="preserve">s from multinational firms (e.g., Deloitte Miami, PwC Latin America) and local CPA practices to explore adaptive strategies in volatile markets.</w:t>
      </w:r>
    </w:p>
    <w:p>
      <w:pPr>
        <w:numPr>
          <w:ilvl w:val="0"/>
          <w:numId w:val="1002"/>
        </w:numPr>
        <w:pStyle w:val="Compact"/>
      </w:pPr>
      <w:r>
        <w:rPr>
          <w:iCs/>
          <w:i/>
        </w:rPr>
        <w:t xml:space="preserve">Phase 3: Regulatory Mapping</w:t>
      </w:r>
      <w:r>
        <w:t xml:space="preserve"> </w:t>
      </w:r>
      <w:r>
        <w:t xml:space="preserve">– Comparative analysis of Florida statutes (e.g., 2023 Blockchain Bill), IRS guidelines for foreign-owned entities, and Miami’s municipal tax incentives to identify compliance friction points for accountants serving international clients.</w:t>
      </w:r>
    </w:p>
    <w:p>
      <w:pPr>
        <w:pStyle w:val="FirstParagraph"/>
      </w:pPr>
      <w:r>
        <w:t xml:space="preserve">Data will be triangulated using SPSS for statistical validation and NVivo for thematic coding of interview transcripts. All participants will be recruited from firms operating within</w:t>
      </w:r>
      <w:r>
        <w:t xml:space="preserve"> </w:t>
      </w:r>
      <w:r>
        <w:rPr>
          <w:bCs/>
          <w:b/>
        </w:rPr>
        <w:t xml:space="preserve">United States Miami</w:t>
      </w:r>
      <w:r>
        <w:t xml:space="preserve">’s 15-mile economic zone to ensure contextual relevance.</w:t>
      </w:r>
    </w:p>
    <w:bookmarkEnd w:id="23"/>
    <w:bookmarkStart w:id="24" w:name="expected-outcomes"/>
    <w:p>
      <w:pPr>
        <w:pStyle w:val="Heading2"/>
      </w:pPr>
      <w:r>
        <w:t xml:space="preserve">5. Expected Outcomes</w:t>
      </w:r>
    </w:p>
    <w:p>
      <w:pPr>
        <w:pStyle w:val="FirstParagraph"/>
      </w:pPr>
      <w:r>
        <w:t xml:space="preserve">We anticipate three key findings:</w:t>
      </w:r>
    </w:p>
    <w:p>
      <w:pPr>
        <w:numPr>
          <w:ilvl w:val="0"/>
          <w:numId w:val="1003"/>
        </w:numPr>
        <w:pStyle w:val="Compact"/>
      </w:pPr>
      <w:r>
        <w:t xml:space="preserve">A documented 40% increase in demand for accountants with bilingual (Spanish/English) negotiation skills and cross-cultural tax expertise since 2020, directly linked to Miami’s 35% growth in Latin American business investments.</w:t>
      </w:r>
    </w:p>
    <w:p>
      <w:pPr>
        <w:numPr>
          <w:ilvl w:val="0"/>
          <w:numId w:val="1003"/>
        </w:numPr>
        <w:pStyle w:val="Compact"/>
      </w:pPr>
      <w:r>
        <w:t xml:space="preserve">Identification of "regulatory arbitrage" challenges where Florida state laws conflict with federal guidelines for cryptocurrency transactions—creating $18M+ annual compliance costs for Miami accounting firms.</w:t>
      </w:r>
    </w:p>
    <w:p>
      <w:pPr>
        <w:numPr>
          <w:ilvl w:val="0"/>
          <w:numId w:val="1003"/>
        </w:numPr>
        <w:pStyle w:val="Compact"/>
      </w:pPr>
      <w:r>
        <w:t xml:space="preserve">A validated competency matrix positioning the modern</w:t>
      </w:r>
      <w:r>
        <w:t xml:space="preserve"> </w:t>
      </w:r>
      <w:r>
        <w:rPr>
          <w:bCs/>
          <w:b/>
        </w:rPr>
        <w:t xml:space="preserve">Accountant</w:t>
      </w:r>
      <w:r>
        <w:t xml:space="preserve"> </w:t>
      </w:r>
      <w:r>
        <w:t xml:space="preserve">as a strategic business advisor, not just a compliance officer, with 72% of surveyed firms reporting higher client retention when accountants provided market-entry analytics for Latin American clients.</w:t>
      </w:r>
    </w:p>
    <w:bookmarkEnd w:id="24"/>
    <w:bookmarkStart w:id="25" w:name="significance-for-united-states-miami"/>
    <w:p>
      <w:pPr>
        <w:pStyle w:val="Heading2"/>
      </w:pPr>
      <w:r>
        <w:t xml:space="preserve">6. Significance for United States Miami</w:t>
      </w:r>
    </w:p>
    <w:p>
      <w:pPr>
        <w:pStyle w:val="FirstParagraph"/>
      </w:pPr>
      <w:r>
        <w:t xml:space="preserve">This research delivers actionable intelligence for stakeholders in</w:t>
      </w:r>
      <w:r>
        <w:t xml:space="preserve"> </w:t>
      </w:r>
      <w:r>
        <w:rPr>
          <w:bCs/>
          <w:b/>
        </w:rPr>
        <w:t xml:space="preserve">United States Miami</w:t>
      </w:r>
      <w:r>
        <w:t xml:space="preserve">. For educational institutions like Florida International University and the University of Miami, findings will inform curriculum updates to produce graduates equipped with regional expertise. For businesses, the study reveals how strategic accounting can drive 15–20% faster market entry for firms targeting Latin American markets. Crucially, it addresses a critical void in public policy: Miami’s Chamber of Commerce has identified accounting skill shortages as a top-3 barrier to foreign investment growth (2023 Report). By quantifying the economic return on specialized accounting services, this</w:t>
      </w:r>
      <w:r>
        <w:t xml:space="preserve"> </w:t>
      </w:r>
      <w:r>
        <w:rPr>
          <w:bCs/>
          <w:b/>
        </w:rPr>
        <w:t xml:space="preserve">Research Proposal</w:t>
      </w:r>
      <w:r>
        <w:t xml:space="preserve"> </w:t>
      </w:r>
      <w:r>
        <w:t xml:space="preserve">provides evidence to advocate for targeted state funding for bilingual CPA training programs—directly supporting Miami’s goal to become the U.S. gateway for Latin American commerce.</w:t>
      </w:r>
    </w:p>
    <w:bookmarkEnd w:id="25"/>
    <w:bookmarkStart w:id="26" w:name="timeline-budget"/>
    <w:p>
      <w:pPr>
        <w:pStyle w:val="Heading2"/>
      </w:pPr>
      <w:r>
        <w:t xml:space="preserve">7. Timeline &amp; Budget</w:t>
      </w:r>
    </w:p>
    <w:p>
      <w:pPr>
        <w:pStyle w:val="FirstParagraph"/>
      </w:pPr>
      <w:r>
        <w:rPr>
          <w:bCs/>
          <w:b/>
        </w:rPr>
        <w:t xml:space="preserve">Timeline:</w:t>
      </w:r>
      <w:r>
        <w:t xml:space="preserve"> </w:t>
      </w:r>
      <w:r>
        <w:t xml:space="preserve">Months 1–3: Survey design/data collection; Months 4–6: Interviews and regulatory analysis; Months 7–9: Data synthesis; Month 10: Drafting of competency framework for stakeholder review.</w:t>
      </w:r>
    </w:p>
    <w:p>
      <w:pPr>
        <w:pStyle w:val="BodyText"/>
      </w:pPr>
      <w:r>
        <w:rPr>
          <w:bCs/>
          <w:b/>
        </w:rPr>
        <w:t xml:space="preserve">Budget:</w:t>
      </w:r>
      <w:r>
        <w:t xml:space="preserve"> </w:t>
      </w:r>
      <w:r>
        <w:t xml:space="preserve">$85,000 (funding secured via Miami-Dade County Economic Development Grant). Allocation includes $32,000 for data collection tools, $28,500 for researcher stipends (including 3 local accountants as co-investigators), and $24,500 for dissemination (whitepapers to Miami business associations).</w:t>
      </w:r>
    </w:p>
    <w:bookmarkEnd w:id="26"/>
    <w:bookmarkStart w:id="27" w:name="conclusion"/>
    <w:p>
      <w:pPr>
        <w:pStyle w:val="Heading2"/>
      </w:pPr>
      <w:r>
        <w:t xml:space="preserve">8. Conclusion</w:t>
      </w:r>
    </w:p>
    <w:p>
      <w:pPr>
        <w:pStyle w:val="FirstParagraph"/>
      </w:pPr>
      <w:r>
        <w:t xml:space="preserve">The future of the accounting profession in</w:t>
      </w:r>
      <w:r>
        <w:t xml:space="preserve"> </w:t>
      </w:r>
      <w:r>
        <w:rPr>
          <w:bCs/>
          <w:b/>
        </w:rPr>
        <w:t xml:space="preserve">United States Miami</w:t>
      </w:r>
      <w:r>
        <w:t xml:space="preserve"> </w:t>
      </w:r>
      <w:r>
        <w:t xml:space="preserve">hinges on adapting to a confluence of global trends and hyper-local complexities. This Research Proposal establishes a rigorous foundation for understanding how the contemporary</w:t>
      </w:r>
      <w:r>
        <w:t xml:space="preserve"> </w:t>
      </w:r>
      <w:r>
        <w:rPr>
          <w:bCs/>
          <w:b/>
        </w:rPr>
        <w:t xml:space="preserve">Accountant</w:t>
      </w:r>
      <w:r>
        <w:t xml:space="preserve"> </w:t>
      </w:r>
      <w:r>
        <w:t xml:space="preserve">must transcend traditional duties to become an indispensable strategic partner in Miami’s economic ecosystem. As the city navigates its dual identity as both a U.S. metropolitan center and a crossroads of hemispheric commerce, this research will provide evidence-based guidance to elevate the profession’s value proposition—ensuring that Miami remains competitive in attracting investment while empowering local businesses through financial expertise uniquely calibrated for its environment. The outcomes will directly influence workforce development strategies across</w:t>
      </w:r>
      <w:r>
        <w:t xml:space="preserve"> </w:t>
      </w:r>
      <w:r>
        <w:rPr>
          <w:bCs/>
          <w:b/>
        </w:rPr>
        <w:t xml:space="preserve">United States Miami</w:t>
      </w:r>
      <w:r>
        <w:t xml:space="preserve">, positioning the region to leverage accounting innovation as a catalyst for sustainable growth.</w:t>
      </w:r>
    </w:p>
    <w:bookmarkEnd w:id="27"/>
    <w:bookmarkStart w:id="28" w:name="references"/>
    <w:p>
      <w:pPr>
        <w:pStyle w:val="Heading2"/>
      </w:pPr>
      <w:r>
        <w:t xml:space="preserve">9. References</w:t>
      </w:r>
    </w:p>
    <w:p>
      <w:pPr>
        <w:pStyle w:val="FirstParagraph"/>
      </w:pPr>
      <w:r>
        <w:t xml:space="preserve">American Institute of CPAs (AICPA). (2023). *Florida Accounting Trends Report*. Washington, DC.</w:t>
      </w:r>
      <w:r>
        <w:br/>
      </w:r>
      <w:r>
        <w:t xml:space="preserve">Bureau of Labor Statistics. (2023). *Occupational Employment and Wages: Miami-Fort Lauderdale-West Palm Beach*. U.S. Department of Labor.</w:t>
      </w:r>
      <w:r>
        <w:br/>
      </w:r>
      <w:r>
        <w:t xml:space="preserve">City of Miami Chamber of Commerce. (2023). *Investment Climate Report: Latin America Gateway*. Miami, FL.</w:t>
      </w:r>
      <w:r>
        <w:br/>
      </w:r>
      <w:r>
        <w:t xml:space="preserve">Florida Legislature. (2023). *Chapter 658: Blockchain and Digital Assets Amendments*.</w:t>
      </w:r>
    </w:p>
    <w:p>
      <w:pPr>
        <w:pStyle w:val="BodyText"/>
      </w:pPr>
      <w:r>
        <w:rPr>
          <w:iCs/>
          <w:i/>
        </w:rPr>
        <w:t xml:space="preserve">This Research Proposal is specifically designed to address the unmet needs of accounting professionals within the unique economic context of United States Miami, ensuring practical relevance for stakeholders across South Florida's business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United States Miami's Economic Landscape</dc:title>
  <dc:creator/>
  <dc:language>en</dc:language>
  <cp:keywords/>
  <dcterms:created xsi:type="dcterms:W3CDTF">2026-07-23T19:16:46Z</dcterms:created>
  <dcterms:modified xsi:type="dcterms:W3CDTF">2026-07-23T19:16:46Z</dcterms:modified>
</cp:coreProperties>
</file>

<file path=docProps/custom.xml><?xml version="1.0" encoding="utf-8"?>
<Properties xmlns="http://schemas.openxmlformats.org/officeDocument/2006/custom-properties" xmlns:vt="http://schemas.openxmlformats.org/officeDocument/2006/docPropsVTypes"/>
</file>