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Modernizing</w:t>
      </w:r>
      <w:r>
        <w:t xml:space="preserve"> </w:t>
      </w:r>
      <w:r>
        <w:t xml:space="preserve">Accountant</w:t>
      </w:r>
      <w:r>
        <w:t xml:space="preserve"> </w:t>
      </w:r>
      <w:r>
        <w:t xml:space="preserve">Competencies</w:t>
      </w:r>
      <w:r>
        <w:t xml:space="preserve"> </w:t>
      </w:r>
      <w:r>
        <w:t xml:space="preserve">in</w:t>
      </w:r>
      <w:r>
        <w:t xml:space="preserve"> </w:t>
      </w:r>
      <w:r>
        <w:t xml:space="preserve">Tashkent,</w:t>
      </w:r>
      <w:r>
        <w:t xml:space="preserve"> </w:t>
      </w:r>
      <w:r>
        <w:t xml:space="preserve">Uzbekistan</w:t>
      </w:r>
    </w:p>
    <w:bookmarkStart w:id="29" w:name="Xc636725b4445fcb32220d8bd5e4aee62e6880c6"/>
    <w:p>
      <w:pPr>
        <w:pStyle w:val="Heading1"/>
      </w:pPr>
      <w:r>
        <w:t xml:space="preserve">Research Proposal: Advancing Professional Competencies of the Accountant in Tashkent, Uzbekistan</w:t>
      </w:r>
    </w:p>
    <w:bookmarkStart w:id="20" w:name="introduction-and-background"/>
    <w:p>
      <w:pPr>
        <w:pStyle w:val="Heading2"/>
      </w:pPr>
      <w:r>
        <w:t xml:space="preserve">1. Introduction and Background</w:t>
      </w:r>
    </w:p>
    <w:p>
      <w:pPr>
        <w:pStyle w:val="FirstParagraph"/>
      </w:pPr>
      <w:r>
        <w:t xml:space="preserve">The Republic of Uzbekistan has embarked on a transformative economic reform agenda since 2016, aiming to transition from a centrally planned to a market-oriented economy. As the capital and primary financial hub, Tashkent serves as the epicenter for these changes, driving significant growth in small and medium enterprises (SMEs), foreign direct investment (FDI), and formalized financial systems. Central to this economic evolution is the critical role of the</w:t>
      </w:r>
      <w:r>
        <w:t xml:space="preserve"> </w:t>
      </w:r>
      <w:r>
        <w:rPr>
          <w:bCs/>
          <w:b/>
        </w:rPr>
        <w:t xml:space="preserve">Accountant</w:t>
      </w:r>
      <w:r>
        <w:t xml:space="preserve">, whose professional expertise directly impacts fiscal transparency, business sustainability, and national economic reporting accuracy. However, rapid regulatory shifts—including alignment with International Financial Reporting Standards (IFRS) and Uzbekistan’s new Tax Code (2021)—have exposed a growing gap between the competencies of local</w:t>
      </w:r>
      <w:r>
        <w:t xml:space="preserve"> </w:t>
      </w:r>
      <w:r>
        <w:rPr>
          <w:bCs/>
          <w:b/>
        </w:rPr>
        <w:t xml:space="preserve">Accountant</w:t>
      </w:r>
      <w:r>
        <w:t xml:space="preserve"> </w:t>
      </w:r>
      <w:r>
        <w:t xml:space="preserve">professionals and the demands of modern financial management in</w:t>
      </w:r>
      <w:r>
        <w:t xml:space="preserve"> </w:t>
      </w:r>
      <w:r>
        <w:rPr>
          <w:bCs/>
          <w:b/>
        </w:rPr>
        <w:t xml:space="preserve">Uzbekistan Tashkent</w:t>
      </w:r>
      <w:r>
        <w:t xml:space="preserve">. This research proposes a comprehensive study to address this critical skills deficit, ensuring that the</w:t>
      </w:r>
      <w:r>
        <w:t xml:space="preserve"> </w:t>
      </w:r>
      <w:r>
        <w:rPr>
          <w:bCs/>
          <w:b/>
        </w:rPr>
        <w:t xml:space="preserve">Accountant</w:t>
      </w:r>
      <w:r>
        <w:t xml:space="preserve"> </w:t>
      </w:r>
      <w:r>
        <w:t xml:space="preserve">becomes an enabler of economic stability rather than a bottleneck.</w:t>
      </w:r>
    </w:p>
    <w:bookmarkEnd w:id="20"/>
    <w:bookmarkStart w:id="21" w:name="problem-statement"/>
    <w:p>
      <w:pPr>
        <w:pStyle w:val="Heading2"/>
      </w:pPr>
      <w:r>
        <w:t xml:space="preserve">2. Problem Statement</w:t>
      </w:r>
    </w:p>
    <w:p>
      <w:pPr>
        <w:pStyle w:val="FirstParagraph"/>
      </w:pPr>
      <w:r>
        <w:t xml:space="preserve">In</w:t>
      </w:r>
      <w:r>
        <w:t xml:space="preserve"> </w:t>
      </w:r>
      <w:r>
        <w:rPr>
          <w:bCs/>
          <w:b/>
        </w:rPr>
        <w:t xml:space="preserve">Uzbekistan Tashkent</w:t>
      </w:r>
      <w:r>
        <w:t xml:space="preserve">, 68% of SMEs (per 2023 Chamber of Commerce Survey) report operational challenges due to inadequate accounting practices, including misclassification of assets, non-compliance with tax regulations, and ineffective financial reporting. The root cause lies in the curriculum gap within higher education institutions and insufficient on-the-job training programs for practicing</w:t>
      </w:r>
      <w:r>
        <w:t xml:space="preserve"> </w:t>
      </w:r>
      <w:r>
        <w:rPr>
          <w:bCs/>
          <w:b/>
        </w:rPr>
        <w:t xml:space="preserve">Accountant</w:t>
      </w:r>
      <w:r>
        <w:t xml:space="preserve">s. While Uzbekistan has adopted IFRS for public companies since 2020, most accountants trained in Tashkent lack hands-on experience with digital accounting tools (e.g., SAP, QuickBooks) and nuanced understanding of international standards. This mismatch not only increases the risk of financial mismanagement but also deters foreign investors seeking reliable fiscal transparency—a key barrier to Uzbekistan’s integration into global markets.</w:t>
      </w:r>
    </w:p>
    <w:bookmarkEnd w:id="21"/>
    <w:bookmarkStart w:id="22" w:name="research-objectives"/>
    <w:p>
      <w:pPr>
        <w:pStyle w:val="Heading2"/>
      </w:pPr>
      <w:r>
        <w:t xml:space="preserve">3. Research Objectives</w:t>
      </w:r>
    </w:p>
    <w:p>
      <w:pPr>
        <w:numPr>
          <w:ilvl w:val="0"/>
          <w:numId w:val="1001"/>
        </w:numPr>
        <w:pStyle w:val="Compact"/>
      </w:pPr>
      <w:r>
        <w:t xml:space="preserve">To assess the current competency profile of practicing Accountants in Tashkent-based enterprises across sectors (manufacturing, services, finance).</w:t>
      </w:r>
    </w:p>
    <w:p>
      <w:pPr>
        <w:numPr>
          <w:ilvl w:val="0"/>
          <w:numId w:val="1001"/>
        </w:numPr>
        <w:pStyle w:val="Compact"/>
      </w:pPr>
      <w:r>
        <w:t xml:space="preserve">To identify specific skill gaps between Uzbekistan’s regulatory requirements (e.g., Law on Accounting #173-XII) and the practical abilities of Accountants.</w:t>
      </w:r>
    </w:p>
    <w:p>
      <w:pPr>
        <w:numPr>
          <w:ilvl w:val="0"/>
          <w:numId w:val="1001"/>
        </w:numPr>
        <w:pStyle w:val="Compact"/>
      </w:pPr>
      <w:r>
        <w:t xml:space="preserve">To evaluate the effectiveness of existing training programs for Accountants in Tashkent through stakeholder interviews (Accountants, CFOs, academic institutions).</w:t>
      </w:r>
    </w:p>
    <w:p>
      <w:pPr>
        <w:numPr>
          <w:ilvl w:val="0"/>
          <w:numId w:val="1001"/>
        </w:numPr>
        <w:pStyle w:val="Compact"/>
      </w:pPr>
      <w:r>
        <w:t xml:space="preserve">To develop a scalable competency framework for modernizing Accountant education and certification processes tailored to Tashkent’s economic context.</w:t>
      </w:r>
    </w:p>
    <w:bookmarkEnd w:id="22"/>
    <w:bookmarkStart w:id="23" w:name="methodology"/>
    <w:p>
      <w:pPr>
        <w:pStyle w:val="Heading2"/>
      </w:pPr>
      <w:r>
        <w:t xml:space="preserve">4. Methodology</w:t>
      </w:r>
    </w:p>
    <w:p>
      <w:pPr>
        <w:pStyle w:val="FirstParagraph"/>
      </w:pPr>
      <w:r>
        <w:t xml:space="preserve">This mixed-methods research will be conducted over 10 months in</w:t>
      </w:r>
      <w:r>
        <w:t xml:space="preserve"> </w:t>
      </w:r>
      <w:r>
        <w:rPr>
          <w:bCs/>
          <w:b/>
        </w:rPr>
        <w:t xml:space="preserve">Uzbekistan Tashkent</w:t>
      </w:r>
      <w:r>
        <w:t xml:space="preserve">, employing a sequential explanatory design:</w:t>
      </w:r>
    </w:p>
    <w:p>
      <w:pPr>
        <w:numPr>
          <w:ilvl w:val="0"/>
          <w:numId w:val="1002"/>
        </w:numPr>
        <w:pStyle w:val="Compact"/>
      </w:pPr>
      <w:r>
        <w:rPr>
          <w:bCs/>
          <w:b/>
        </w:rPr>
        <w:t xml:space="preserve">Phase 1: Quantitative Survey (Months 1-3)</w:t>
      </w:r>
      <w:r>
        <w:t xml:space="preserve">: A stratified random sample of 350 Accountants from Tashkent’s registered businesses (20% SMEs, 40% mid-sized firms, 40% large enterprises) will complete an online competency assessment covering technical skills (IFRS, tax compliance), digital literacy (accounting software), and strategic advisory capabilities.</w:t>
      </w:r>
    </w:p>
    <w:p>
      <w:pPr>
        <w:numPr>
          <w:ilvl w:val="0"/>
          <w:numId w:val="1002"/>
        </w:numPr>
        <w:pStyle w:val="Compact"/>
      </w:pPr>
      <w:r>
        <w:rPr>
          <w:bCs/>
          <w:b/>
        </w:rPr>
        <w:t xml:space="preserve">Phase 2: Qualitative Analysis (Months 4-7)</w:t>
      </w:r>
      <w:r>
        <w:t xml:space="preserve">: In-depth interviews with 30 key stakeholders—including 15 Accountants, 10 CFOs/finance directors from Tashkent-based firms, and 5 faculty members from Tashkent State University of Economics—will explore systemic challenges in training and practice.</w:t>
      </w:r>
    </w:p>
    <w:p>
      <w:pPr>
        <w:numPr>
          <w:ilvl w:val="0"/>
          <w:numId w:val="1002"/>
        </w:numPr>
        <w:pStyle w:val="Compact"/>
      </w:pPr>
      <w:r>
        <w:rPr>
          <w:bCs/>
          <w:b/>
        </w:rPr>
        <w:t xml:space="preserve">Phase 3: Framework Development (Months 8-10)</w:t>
      </w:r>
      <w:r>
        <w:t xml:space="preserve">: Data will be synthesized to create a competency model validated by the Uzbekistan Chamber of Accountants. The framework will prioritize digital transformation, ethical decision-making, and IFRS implementation—addressing gaps identified in Phase 1 and Phase 2.</w:t>
      </w:r>
    </w:p>
    <w:bookmarkEnd w:id="23"/>
    <w:bookmarkStart w:id="24" w:name="significance-of-the-research"/>
    <w:p>
      <w:pPr>
        <w:pStyle w:val="Heading2"/>
      </w:pPr>
      <w:r>
        <w:t xml:space="preserve">5. Significance of the Research</w:t>
      </w:r>
    </w:p>
    <w:p>
      <w:pPr>
        <w:pStyle w:val="FirstParagraph"/>
      </w:pPr>
      <w:r>
        <w:t xml:space="preserve">This study holds profound relevance for</w:t>
      </w:r>
      <w:r>
        <w:t xml:space="preserve"> </w:t>
      </w:r>
      <w:r>
        <w:rPr>
          <w:bCs/>
          <w:b/>
        </w:rPr>
        <w:t xml:space="preserve">Uzbekistan Tashkent</w:t>
      </w:r>
      <w:r>
        <w:t xml:space="preserve">’s economic trajectory. By equipping the</w:t>
      </w:r>
      <w:r>
        <w:t xml:space="preserve"> </w:t>
      </w:r>
      <w:r>
        <w:rPr>
          <w:bCs/>
          <w:b/>
        </w:rPr>
        <w:t xml:space="preserve">Accountant</w:t>
      </w:r>
      <w:r>
        <w:t xml:space="preserve"> </w:t>
      </w:r>
      <w:r>
        <w:t xml:space="preserve">with future-ready skills, it directly supports Uzbekistan’s strategic goals under "Strategy 2030," which emphasizes attracting FDI through improved business environments. For Tashkent’s SME sector—which employs over 45% of the city’s workforce—the research will provide actionable tools to reduce compliance costs by an estimated 25%, as projected by the World Bank (2022). Furthermore, it aligns with Uzbekistan’s national initiative to reform accounting education via the Ministry of Higher Education. The proposed competency framework can be adopted by Tashkent-based universities (e.g., Tashkent Financial Institute) to revamp curricula, ensuring graduates enter the workforce ready for modern challenges.</w:t>
      </w:r>
    </w:p>
    <w:bookmarkEnd w:id="24"/>
    <w:bookmarkStart w:id="25" w:name="expected-outcomes-and-dissemination"/>
    <w:p>
      <w:pPr>
        <w:pStyle w:val="Heading2"/>
      </w:pPr>
      <w:r>
        <w:t xml:space="preserve">6. Expected Outcomes and Dissemination</w:t>
      </w:r>
    </w:p>
    <w:p>
      <w:pPr>
        <w:pStyle w:val="FirstParagraph"/>
      </w:pPr>
      <w:r>
        <w:t xml:space="preserve">The research will deliver four key outputs:</w:t>
      </w:r>
    </w:p>
    <w:p>
      <w:pPr>
        <w:numPr>
          <w:ilvl w:val="0"/>
          <w:numId w:val="1003"/>
        </w:numPr>
        <w:pStyle w:val="Compact"/>
      </w:pPr>
      <w:r>
        <w:t xml:space="preserve">A validated competency framework for Accountants in Tashkent, prioritizing digital tools, IFRS application, and ethics.</w:t>
      </w:r>
    </w:p>
    <w:p>
      <w:pPr>
        <w:numPr>
          <w:ilvl w:val="0"/>
          <w:numId w:val="1003"/>
        </w:numPr>
        <w:pStyle w:val="Compact"/>
      </w:pPr>
      <w:r>
        <w:t xml:space="preserve">Policy recommendations for Uzbekistan’s Ministry of Finance on updating certification standards.</w:t>
      </w:r>
    </w:p>
    <w:p>
      <w:pPr>
        <w:numPr>
          <w:ilvl w:val="0"/>
          <w:numId w:val="1003"/>
        </w:numPr>
        <w:pStyle w:val="Compact"/>
      </w:pPr>
      <w:r>
        <w:t xml:space="preserve">A pilot training module for Accountants in Tashkent, developed with local partners like the Institute of Professional Accountants (IPA).</w:t>
      </w:r>
    </w:p>
    <w:p>
      <w:pPr>
        <w:numPr>
          <w:ilvl w:val="0"/>
          <w:numId w:val="1003"/>
        </w:numPr>
        <w:pStyle w:val="Compact"/>
      </w:pPr>
      <w:r>
        <w:t xml:space="preserve">A peer-reviewed academic paper targeting journals such as the *Journal of Accounting in Emerging Economies*, highlighting Uzbekistan-specific insights.</w:t>
      </w:r>
    </w:p>
    <w:p>
      <w:pPr>
        <w:pStyle w:val="FirstParagraph"/>
      </w:pPr>
      <w:r>
        <w:t xml:space="preserve">All findings will be disseminated through workshops at Tashkent’s Chamber of Commerce, government briefings for the Ministry of Economy, and open-access reports via the University of Tashkent’s research portal—ensuring accessibility for policymakers, educators, and practicing Accountants across Uzbekistan.</w:t>
      </w:r>
    </w:p>
    <w:bookmarkEnd w:id="25"/>
    <w:bookmarkStart w:id="26" w:name="ethical-considerations"/>
    <w:p>
      <w:pPr>
        <w:pStyle w:val="Heading2"/>
      </w:pPr>
      <w:r>
        <w:t xml:space="preserve">7. Ethical Considerations</w:t>
      </w:r>
    </w:p>
    <w:p>
      <w:pPr>
        <w:pStyle w:val="FirstParagraph"/>
      </w:pPr>
      <w:r>
        <w:t xml:space="preserve">Confidentiality will be maintained through anonymized data handling per Uzbekistan’s Data Protection Law (No. 238-Uz). Participant consent will be obtained in both English and Uzbek, with translation support provided for non-English speakers. The research team includes two Uzbek accounting professionals to ensure cultural sensitivity and contextual accuracy, particularly regarding Tashkent’s business ecosystem.</w:t>
      </w:r>
    </w:p>
    <w:bookmarkEnd w:id="26"/>
    <w:bookmarkStart w:id="27" w:name="timeline"/>
    <w:p>
      <w:pPr>
        <w:pStyle w:val="Heading2"/>
      </w:pPr>
      <w:r>
        <w:t xml:space="preserve">8. Timeline</w:t>
      </w:r>
    </w:p>
    <w:p>
      <w:pPr>
        <w:pStyle w:val="FirstParagraph"/>
      </w:pPr>
      <w:r>
        <w:t xml:space="preserve">Month</w:t>
      </w:r>
    </w:p>
    <w:p>
      <w:pPr>
        <w:pStyle w:val="BodyText"/>
      </w:pPr>
      <w:r>
        <w:t xml:space="preserve">Research Activity</w:t>
      </w:r>
    </w:p>
    <w:p>
      <w:pPr>
        <w:pStyle w:val="BodyText"/>
      </w:pPr>
      <w:r>
        <w:t xml:space="preserve">1-3</w:t>
      </w:r>
    </w:p>
    <w:p>
      <w:pPr>
        <w:pStyle w:val="BodyText"/>
      </w:pPr>
      <w:r>
        <w:t xml:space="preserve">Survey Design &amp; Data Collection (Tashkent)</w:t>
      </w:r>
    </w:p>
    <w:p>
      <w:pPr>
        <w:pStyle w:val="BodyText"/>
      </w:pPr>
      <w:r>
        <w:t xml:space="preserve">4-5</w:t>
      </w:r>
    </w:p>
    <w:p>
      <w:pPr>
        <w:pStyle w:val="BodyText"/>
      </w:pPr>
      <w:r>
        <w:t xml:space="preserve">Stakeholder Interviews (Tashkent-based participants)</w:t>
      </w:r>
    </w:p>
    <w:p>
      <w:pPr>
        <w:pStyle w:val="BodyText"/>
      </w:pPr>
      <w:r>
        <w:t xml:space="preserve">6-7</w:t>
      </w:r>
    </w:p>
    <w:p>
      <w:pPr>
        <w:pStyle w:val="BodyText"/>
      </w:pPr>
      <w:r>
        <w:t xml:space="preserve">Data Analysis &amp; Framework Drafting</w:t>
      </w:r>
    </w:p>
    <w:p>
      <w:pPr>
        <w:pStyle w:val="BodyText"/>
      </w:pPr>
      <w:r>
        <w:t xml:space="preserve">8-9</w:t>
      </w:r>
    </w:p>
    <w:p>
      <w:pPr>
        <w:pStyle w:val="BodyText"/>
      </w:pPr>
      <w:r>
        <w:t xml:space="preserve">Pilot Testing with Tashkent Accountants &amp; Institutions</w:t>
      </w:r>
    </w:p>
    <w:p>
      <w:pPr>
        <w:pStyle w:val="BodyText"/>
      </w:pPr>
      <w:r>
        <w:t xml:space="preserve">10</w:t>
      </w:r>
    </w:p>
    <w:p>
      <w:pPr>
        <w:pStyle w:val="BodyText"/>
      </w:pPr>
      <w:r>
        <w:t xml:space="preserve">Final Report Submission &amp; Dissemination Plan Launch</w:t>
      </w:r>
    </w:p>
    <w:bookmarkEnd w:id="27"/>
    <w:bookmarkStart w:id="28" w:name="conclusion"/>
    <w:p>
      <w:pPr>
        <w:pStyle w:val="Heading2"/>
      </w:pPr>
      <w:r>
        <w:t xml:space="preserve">9. Conclusion</w:t>
      </w:r>
    </w:p>
    <w:p>
      <w:pPr>
        <w:pStyle w:val="FirstParagraph"/>
      </w:pPr>
      <w:r>
        <w:t xml:space="preserve">The success of Uzbekistan’s economic reforms hinges on a modern, skilled workforce—and the</w:t>
      </w:r>
      <w:r>
        <w:t xml:space="preserve"> </w:t>
      </w:r>
      <w:r>
        <w:rPr>
          <w:bCs/>
          <w:b/>
        </w:rPr>
        <w:t xml:space="preserve">Accountant</w:t>
      </w:r>
      <w:r>
        <w:t xml:space="preserve"> </w:t>
      </w:r>
      <w:r>
        <w:t xml:space="preserve">is pivotal to this mission in Tashkent. This Research Proposal outlines a targeted investigation into the professional development needs of Accountants within</w:t>
      </w:r>
      <w:r>
        <w:t xml:space="preserve"> </w:t>
      </w:r>
      <w:r>
        <w:rPr>
          <w:bCs/>
          <w:b/>
        </w:rPr>
        <w:t xml:space="preserve">Uzbekistan Tashkent</w:t>
      </w:r>
      <w:r>
        <w:t xml:space="preserve">, directly addressing systemic gaps that impede financial integrity and investment growth. By centering the research on Tashkent’s unique business environment and leveraging local partnerships, this project will generate practical, culturally attuned solutions. Ultimately, it aims to transform the role of the Accountant from a compliance-focused function to a strategic catalyst for sustainable development in Uzbekistan’s capital city and beyond.</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Modernizing Accountant Competencies in Tashkent, Uzbekistan</dc:title>
  <dc:creator/>
  <dc:language>en</dc:language>
  <cp:keywords/>
  <dcterms:created xsi:type="dcterms:W3CDTF">2026-07-23T09:33:16Z</dcterms:created>
  <dcterms:modified xsi:type="dcterms:W3CDTF">2026-07-23T09:33:16Z</dcterms:modified>
</cp:coreProperties>
</file>

<file path=docProps/custom.xml><?xml version="1.0" encoding="utf-8"?>
<Properties xmlns="http://schemas.openxmlformats.org/officeDocument/2006/custom-properties" xmlns:vt="http://schemas.openxmlformats.org/officeDocument/2006/docPropsVTypes"/>
</file>