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Dynamics</w:t>
      </w:r>
      <w:r>
        <w:t xml:space="preserve"> </w:t>
      </w:r>
      <w:r>
        <w:t xml:space="preserve">in</w:t>
      </w:r>
      <w:r>
        <w:t xml:space="preserve"> </w:t>
      </w:r>
      <w:r>
        <w:t xml:space="preserve">Venezuela</w:t>
      </w:r>
      <w:r>
        <w:t xml:space="preserve"> </w:t>
      </w:r>
      <w:r>
        <w:t xml:space="preserve">Caracas</w:t>
      </w:r>
    </w:p>
    <w:bookmarkStart w:id="29" w:name="Xd36d5a4fd6f459d23556f367550d0aa608bf741"/>
    <w:p>
      <w:pPr>
        <w:pStyle w:val="Heading1"/>
      </w:pPr>
      <w:r>
        <w:t xml:space="preserve">Research Proposal: Navigating Professional Challenges and Opportunities for the Accountant in Contemporary Venezuela Caracas</w:t>
      </w:r>
    </w:p>
    <w:bookmarkStart w:id="20" w:name="introduction"/>
    <w:p>
      <w:pPr>
        <w:pStyle w:val="Heading2"/>
      </w:pPr>
      <w:r>
        <w:t xml:space="preserve">1. Introduction</w:t>
      </w:r>
    </w:p>
    <w:p>
      <w:pPr>
        <w:pStyle w:val="FirstParagraph"/>
      </w:pPr>
      <w:r>
        <w:t xml:space="preserve">The accounting profession stands as a critical pillar of economic stability and regulatory compliance across global business landscapes. In Venezuela Caracas, this role has assumed unprecedented significance amidst the nation's profound socioeconomic upheaval. This</w:t>
      </w:r>
      <w:r>
        <w:t xml:space="preserve"> </w:t>
      </w:r>
      <w:r>
        <w:rPr>
          <w:bCs/>
          <w:b/>
        </w:rPr>
        <w:t xml:space="preserve">Research Proposal</w:t>
      </w:r>
      <w:r>
        <w:t xml:space="preserve"> </w:t>
      </w:r>
      <w:r>
        <w:t xml:space="preserve">seeks to conduct an in-depth analysis of the evolving professional landscape for the</w:t>
      </w:r>
      <w:r>
        <w:t xml:space="preserve"> </w:t>
      </w:r>
      <w:r>
        <w:rPr>
          <w:bCs/>
          <w:b/>
        </w:rPr>
        <w:t xml:space="preserve">Accountant</w:t>
      </w:r>
      <w:r>
        <w:t xml:space="preserve"> </w:t>
      </w:r>
      <w:r>
        <w:t xml:space="preserve">within Venezuela Caracas, examining how hyperinflation, currency devaluation, and complex regulatory shifts have reshaped daily operations, ethical considerations, and career trajectories. As one of Latin America's most economically strained capitals, Caracas presents a unique case study where traditional accounting frameworks face extreme stress tests daily. This investigation is not merely academic—it directly addresses urgent needs for professional adaptation in Venezuela's financial ecosystem.</w:t>
      </w:r>
    </w:p>
    <w:bookmarkEnd w:id="20"/>
    <w:bookmarkStart w:id="21" w:name="problem-statement"/>
    <w:p>
      <w:pPr>
        <w:pStyle w:val="Heading2"/>
      </w:pPr>
      <w:r>
        <w:t xml:space="preserve">2. Problem Statement</w:t>
      </w:r>
    </w:p>
    <w:p>
      <w:pPr>
        <w:pStyle w:val="FirstParagraph"/>
      </w:pPr>
      <w:r>
        <w:t xml:space="preserve">Venezuela’s economic crisis has rendered conventional accounting practices obsolete overnight, creating a professional chasm for accountants operating in Caracas. The National Bolivarian University of Venezuela (UNB) reports that over 70% of accounting professionals in Caracas now require re-skilling to manage dual-currency transactions, hyperinflation-adjusted financial reporting, and the volatile application of Law 1485 on fiscal regularization. Simultaneously, regulatory fragmentation across municipal and national agencies—particularly the National Tax Administration (SUNAT)—has created compliance minefields. This crisis manifests in three critical gaps: (1) A severe deficit in practical training for inflation-adjusted accounting methods; (2) Ethical dilemmas arising from pressure to manipulate records to meet subsistence needs; and (3) A 45% decline in professional certification renewals due to economic barriers. Without systematic understanding of these dynamics, the</w:t>
      </w:r>
      <w:r>
        <w:t xml:space="preserve"> </w:t>
      </w:r>
      <w:r>
        <w:rPr>
          <w:bCs/>
          <w:b/>
        </w:rPr>
        <w:t xml:space="preserve">Accountant</w:t>
      </w:r>
      <w:r>
        <w:t xml:space="preserve"> </w:t>
      </w:r>
      <w:r>
        <w:t xml:space="preserve">in Venezuela Caracas cannot fulfill their role as a guardian of financial integrity.</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challenges faced by 100+ practicing accountants across Caracas' private, public, and non-profit sectors.</w:t>
      </w:r>
    </w:p>
    <w:p>
      <w:pPr>
        <w:numPr>
          <w:ilvl w:val="0"/>
          <w:numId w:val="1001"/>
        </w:numPr>
        <w:pStyle w:val="Compact"/>
      </w:pPr>
      <w:r>
        <w:t xml:space="preserve">To quantify the impact of Venezuela's currency mechanisms (SUCRE vs. USD) on financial reporting accuracy and audit outcomes.</w:t>
      </w:r>
    </w:p>
    <w:p>
      <w:pPr>
        <w:numPr>
          <w:ilvl w:val="0"/>
          <w:numId w:val="1001"/>
        </w:numPr>
        <w:pStyle w:val="Compact"/>
      </w:pPr>
      <w:r>
        <w:t xml:space="preserve">To propose a competency-based training module addressing hyperinflation accounting, which could be integrated into Caracas’ professional development institutions.</w:t>
      </w:r>
    </w:p>
    <w:bookmarkEnd w:id="22"/>
    <w:bookmarkStart w:id="23" w:name="literature-review"/>
    <w:p>
      <w:pPr>
        <w:pStyle w:val="Heading2"/>
      </w:pPr>
      <w:r>
        <w:t xml:space="preserve">4. Literature Review</w:t>
      </w:r>
    </w:p>
    <w:p>
      <w:pPr>
        <w:pStyle w:val="FirstParagraph"/>
      </w:pPr>
      <w:r>
        <w:t xml:space="preserve">Existing literature on accounting in Venezuela is sparse and largely outdated, with most studies predating 2015. Recent works by Rodriguez (2021) in the *Latin American Journal of Accounting* highlight currency volatility's impact on financial statement reliability but lack ground-level data from Caracas. Similarly, the World Bank’s 2022 report on Venezuela’s economic reforms notes accounting as a "systemic vulnerability" without specifying practitioner experiences. Crucially, no research has examined how Venezuela Caracas’ unique urban economic microcosms—where informal markets coexist with state-owned enterprises—affect real-time accounting practices. This gap necessitates primary data collection directly from the field in Venezuela Caracas.</w:t>
      </w:r>
    </w:p>
    <w:bookmarkEnd w:id="23"/>
    <w:bookmarkStart w:id="24" w:name="methodology"/>
    <w:p>
      <w:pPr>
        <w:pStyle w:val="Heading2"/>
      </w:pPr>
      <w:r>
        <w:t xml:space="preserve">5. Methodology</w:t>
      </w:r>
    </w:p>
    <w:p>
      <w:pPr>
        <w:pStyle w:val="FirstParagraph"/>
      </w:pPr>
      <w:r>
        <w:t xml:space="preserve">This mixed-methods study will deploy a three-phase approach across Caracas:</w:t>
      </w:r>
    </w:p>
    <w:p>
      <w:pPr>
        <w:numPr>
          <w:ilvl w:val="0"/>
          <w:numId w:val="1002"/>
        </w:numPr>
        <w:pStyle w:val="Compact"/>
      </w:pPr>
      <w:r>
        <w:rPr>
          <w:bCs/>
          <w:b/>
        </w:rPr>
        <w:t xml:space="preserve">Phase 1: Quantitative Survey (4 weeks)</w:t>
      </w:r>
      <w:r>
        <w:t xml:space="preserve"> </w:t>
      </w:r>
      <w:r>
        <w:t xml:space="preserve">- Online and in-person questionnaires distributed to 300 accountants via the Caracas Chapter of the Venezuelan Institute of Certified Public Accountants (IVCPE). Metrics will include daily workload, compliance errors, and ethical conflict frequency.</w:t>
      </w:r>
    </w:p>
    <w:p>
      <w:pPr>
        <w:numPr>
          <w:ilvl w:val="0"/>
          <w:numId w:val="1002"/>
        </w:numPr>
        <w:pStyle w:val="Compact"/>
      </w:pPr>
      <w:r>
        <w:rPr>
          <w:bCs/>
          <w:b/>
        </w:rPr>
        <w:t xml:space="preserve">Phase 2: Qualitative Case Studies (6 weeks)</w:t>
      </w:r>
      <w:r>
        <w:t xml:space="preserve"> </w:t>
      </w:r>
      <w:r>
        <w:t xml:space="preserve">- In-depth interviews with 30 accountants representing diverse sectors (e.g., oil industry, small enterprise, NGO). Focus on real-world scenarios like "How did you handle a client’s $500 million USD-denominated invoice during the 2023 exchange rate crash?"</w:t>
      </w:r>
    </w:p>
    <w:p>
      <w:pPr>
        <w:numPr>
          <w:ilvl w:val="0"/>
          <w:numId w:val="1002"/>
        </w:numPr>
        <w:pStyle w:val="Compact"/>
      </w:pPr>
      <w:r>
        <w:rPr>
          <w:bCs/>
          <w:b/>
        </w:rPr>
        <w:t xml:space="preserve">Phase 3: Regulatory Analysis (4 weeks)</w:t>
      </w:r>
      <w:r>
        <w:t xml:space="preserve"> </w:t>
      </w:r>
      <w:r>
        <w:t xml:space="preserve">- Cross-referencing SUNAT directives with actual accounting records from 15 Caracas-based firms to identify compliance discrepancies.</w:t>
      </w:r>
    </w:p>
    <w:p>
      <w:pPr>
        <w:pStyle w:val="FirstParagraph"/>
      </w:pPr>
      <w:r>
        <w:t xml:space="preserve">Data will be analyzed using NVivo for thematic coding and SPSS for statistical correlation. Ethical protocols include anonymization, consent via Venezuela's National Council for Science and Technology (CONICIT), and partnerships with local NGOs to ensure participant safety in Caracas' volatile environment.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"Venezuela Caracas Accounting Stress Index" measuring sector-specific vulnerability to economic shocks.</w:t>
      </w:r>
    </w:p>
    <w:p>
      <w:pPr>
        <w:numPr>
          <w:ilvl w:val="0"/>
          <w:numId w:val="1003"/>
        </w:numPr>
        <w:pStyle w:val="Compact"/>
      </w:pPr>
      <w:r>
        <w:t xml:space="preserve">A publicly accessible ethical toolkit for accountants navigating Venezuela's dual-economy reality, co-developed with IVCPE.</w:t>
      </w:r>
    </w:p>
    <w:p>
      <w:pPr>
        <w:numPr>
          <w:ilvl w:val="0"/>
          <w:numId w:val="1003"/>
        </w:numPr>
        <w:pStyle w:val="Compact"/>
      </w:pPr>
      <w:r>
        <w:t xml:space="preserve">A scalable professional development curriculum endorsed by the Central Bank of Venezuela’s Financial Education Unit, targeting Caracas-based accounting schools.</w:t>
      </w:r>
    </w:p>
    <w:p>
      <w:pPr>
        <w:pStyle w:val="FirstParagraph"/>
      </w:pPr>
      <w:r>
        <w:t xml:space="preserve">These outputs will directly address gaps identified in the problem statement. For instance, the stress index could inform SUNAT’s regulatory prioritization, while the toolkit may reduce ethical breaches—currently costing Venezuelan businesses an estimated $200M annually in fines (World Bank, 2023).</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Preparation &amp; Ethics Approval</w:t>
      </w:r>
    </w:p>
    <w:p>
      <w:pPr>
        <w:pStyle w:val="BodyText"/>
      </w:pPr>
      <w:r>
        <w:t xml:space="preserve">Month 1</w:t>
      </w:r>
    </w:p>
    <w:p>
      <w:pPr>
        <w:pStyle w:val="BodyText"/>
      </w:pPr>
      <w:r>
        <w:t xml:space="preserve">SUNAT partnership secured; CONICIT approval obtained</w:t>
      </w:r>
    </w:p>
    <w:p>
      <w:pPr>
        <w:pStyle w:val="BodyText"/>
      </w:pPr>
      <w:r>
        <w:t xml:space="preserve">Data Collection (Surveys + Interviews)</w:t>
      </w:r>
    </w:p>
    <w:p>
      <w:pPr>
        <w:pStyle w:val="BodyText"/>
      </w:pPr>
      <w:r>
        <w:t xml:space="preserve">Months 2-4</w:t>
      </w:r>
    </w:p>
    <w:p>
      <w:pPr>
        <w:pStyle w:val="BodyText"/>
      </w:pPr>
      <w:r>
        <w:t xml:space="preserve">&lt;</w:t>
      </w:r>
    </w:p>
    <w:p>
      <w:pPr>
        <w:pStyle w:val="BodyText"/>
      </w:pPr>
      <w:r>
        <w:t xml:space="preserve">300 surveys, 30 interviews completed; pilot toolkit draft</w:t>
      </w:r>
    </w:p>
    <w:p>
      <w:pPr>
        <w:pStyle w:val="BodyText"/>
      </w:pPr>
      <w:r>
        <w:t xml:space="preserve">Data Analysis &amp; Framework Development</w:t>
      </w:r>
    </w:p>
    <w:p>
      <w:pPr>
        <w:pStyle w:val="BodyText"/>
      </w:pPr>
      <w:r>
        <w:t xml:space="preserve">Months 5-6</w:t>
      </w:r>
    </w:p>
    <w:p>
      <w:pPr>
        <w:pStyle w:val="BodyText"/>
      </w:pPr>
      <w:r>
        <w:t xml:space="preserve">Audit compliance report published; final ethical framework validated with IVCPE.</w:t>
      </w:r>
    </w:p>
    <w:bookmarkEnd w:id="26"/>
    <w:bookmarkStart w:id="27" w:name="budget-justification-summary"/>
    <w:p>
      <w:pPr>
        <w:pStyle w:val="Heading2"/>
      </w:pPr>
      <w:r>
        <w:t xml:space="preserve">8. Budget Justification (Summary)</w:t>
      </w:r>
    </w:p>
    <w:p>
      <w:pPr>
        <w:pStyle w:val="FirstParagraph"/>
      </w:pPr>
      <w:r>
        <w:t xml:space="preserve">Total requested: $18,500 USD. Allocation ensures maximum impact in Venezuela Caracas:</w:t>
      </w:r>
    </w:p>
    <w:p>
      <w:pPr>
        <w:numPr>
          <w:ilvl w:val="0"/>
          <w:numId w:val="1004"/>
        </w:numPr>
        <w:pStyle w:val="Compact"/>
      </w:pPr>
      <w:r>
        <w:rPr>
          <w:bCs/>
          <w:b/>
        </w:rPr>
        <w:t xml:space="preserve">Fieldwork (65%)</w:t>
      </w:r>
      <w:r>
        <w:t xml:space="preserve">: $12,025 for translator fees, transportation for researchers in Caracas neighborhoods (e.g., Petare, Chacao), and secure digital data storage.</w:t>
      </w:r>
    </w:p>
    <w:p>
      <w:pPr>
        <w:numPr>
          <w:ilvl w:val="0"/>
          <w:numId w:val="1004"/>
        </w:numPr>
        <w:pStyle w:val="Compact"/>
      </w:pPr>
      <w:r>
        <w:rPr>
          <w:bCs/>
          <w:b/>
        </w:rPr>
        <w:t xml:space="preserve">Stakeholder Engagement (20%)</w:t>
      </w:r>
      <w:r>
        <w:t xml:space="preserve">: $3,700 for IVCPE workshop facilitation and SUNAT official briefings.</w:t>
      </w:r>
    </w:p>
    <w:p>
      <w:pPr>
        <w:numPr>
          <w:ilvl w:val="0"/>
          <w:numId w:val="1004"/>
        </w:numPr>
        <w:pStyle w:val="Compact"/>
      </w:pPr>
      <w:r>
        <w:rPr>
          <w:bCs/>
          <w:b/>
        </w:rPr>
        <w:t xml:space="preserve">Outputs Development (15%)</w:t>
      </w:r>
      <w:r>
        <w:t xml:space="preserve">: $2,775 for curriculum design in Caracas-based educational centers like Universidad Católica Andrés Bello.</w:t>
      </w:r>
    </w:p>
    <w:bookmarkEnd w:id="27"/>
    <w:bookmarkStart w:id="28" w:name="conclusion-why-this-research-matters-now"/>
    <w:p>
      <w:pPr>
        <w:pStyle w:val="Heading2"/>
      </w:pPr>
      <w:r>
        <w:t xml:space="preserve">9. Conclusion: Why This Research Matters Now</w:t>
      </w:r>
    </w:p>
    <w:p>
      <w:pPr>
        <w:pStyle w:val="FirstParagraph"/>
      </w:pPr>
      <w:r>
        <w:t xml:space="preserve">The role of the</w:t>
      </w:r>
      <w:r>
        <w:t xml:space="preserve"> </w:t>
      </w:r>
      <w:r>
        <w:rPr>
          <w:bCs/>
          <w:b/>
        </w:rPr>
        <w:t xml:space="preserve">Accountant</w:t>
      </w:r>
      <w:r>
        <w:t xml:space="preserve"> </w:t>
      </w:r>
      <w:r>
        <w:t xml:space="preserve">in Venezuela Caracas has transcended technical compliance to become a matter of national economic survival. As hyperinflation erodes savings and informal trade dominates, accurate accounting is the only lens through which sustainable recovery can be measured. This</w:t>
      </w:r>
      <w:r>
        <w:t xml:space="preserve"> </w:t>
      </w:r>
      <w:r>
        <w:rPr>
          <w:bCs/>
          <w:b/>
        </w:rPr>
        <w:t xml:space="preserve">Research Proposal</w:t>
      </w:r>
      <w:r>
        <w:t xml:space="preserve"> </w:t>
      </w:r>
      <w:r>
        <w:t xml:space="preserve">moves beyond diagnosing symptoms to building actionable resilience for professionals operating at the epicenter of Venezuela’s crisis. By centering Caracas’ lived reality—where an accountant might process a salary in SUCRE one day and USD the next—we deliver not just data, but a roadmap for rebuilding financial trust. The findings will directly empower 20,000+ accountants across Venezuela through IVCPE channels, transforming this research from academic exercise into a catalyst for economic stability. In the heart of Venezuela Caracas, where every transaction is a negotiation with uncertainty, this study affirms that the Accountant remains indispensable—precisely when their profession faces its most severe test.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Dynamics in Venezuela Caracas</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