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Uzbekistan</w:t>
      </w:r>
      <w:r>
        <w:t xml:space="preserve"> </w:t>
      </w:r>
      <w:r>
        <w:t xml:space="preserve">Tashkent</w:t>
      </w:r>
    </w:p>
    <w:bookmarkStart w:id="29" w:name="X29a8b41e941c4f7f5dfd78c8014e9c97f378cce"/>
    <w:p>
      <w:pPr>
        <w:pStyle w:val="Heading1"/>
      </w:pPr>
      <w:r>
        <w:t xml:space="preserve">Research Proposal: The Role and Evolution of the Contemporary Actor in Uzbekistan Tashkent</w:t>
      </w:r>
    </w:p>
    <w:bookmarkStart w:id="20" w:name="introduction"/>
    <w:p>
      <w:pPr>
        <w:pStyle w:val="Heading2"/>
      </w:pPr>
      <w:r>
        <w:t xml:space="preserve">1. Introduction</w:t>
      </w:r>
    </w:p>
    <w:p>
      <w:pPr>
        <w:pStyle w:val="FirstParagraph"/>
      </w:pPr>
      <w:r>
        <w:t xml:space="preserve">In the vibrant cultural landscape of Central Asia, Tashkent stands as a dynamic epicenter where tradition and modernity converge. This</w:t>
      </w:r>
      <w:r>
        <w:t xml:space="preserve"> </w:t>
      </w:r>
      <w:r>
        <w:rPr>
          <w:bCs/>
          <w:b/>
        </w:rPr>
        <w:t xml:space="preserve">Research Proposal</w:t>
      </w:r>
      <w:r>
        <w:t xml:space="preserve"> </w:t>
      </w:r>
      <w:r>
        <w:t xml:space="preserve">investigates the evolving role of the contemporary</w:t>
      </w:r>
      <w:r>
        <w:t xml:space="preserve"> </w:t>
      </w:r>
      <w:r>
        <w:rPr>
          <w:bCs/>
          <w:b/>
        </w:rPr>
        <w:t xml:space="preserve">Actor</w:t>
      </w:r>
      <w:r>
        <w:t xml:space="preserve"> </w:t>
      </w:r>
      <w:r>
        <w:t xml:space="preserve">within Uzbekistan's performing arts sector, specifically in Tashkent—the nation's political, economic, and cultural capital. As Uzbekistan accelerates its socio-cultural reforms under President Shavkat Mirziyoyev's vision for "New Uzbekistan," the theater industry faces unprecedented opportunities and challenges. The</w:t>
      </w:r>
      <w:r>
        <w:t xml:space="preserve"> </w:t>
      </w:r>
      <w:r>
        <w:rPr>
          <w:bCs/>
          <w:b/>
        </w:rPr>
        <w:t xml:space="preserve">Actor</w:t>
      </w:r>
      <w:r>
        <w:t xml:space="preserve"> </w:t>
      </w:r>
      <w:r>
        <w:t xml:space="preserve">is no longer merely a performer but a pivotal agent in shaping national identity, fostering cross-cultural dialogue, and navigating political sensitivities. This study directly addresses gaps in Central Asian performance studies by centering Tashkent as the primary locus of change, where the</w:t>
      </w:r>
      <w:r>
        <w:t xml:space="preserve"> </w:t>
      </w:r>
      <w:r>
        <w:rPr>
          <w:bCs/>
          <w:b/>
        </w:rPr>
        <w:t xml:space="preserve">Actor</w:t>
      </w:r>
      <w:r>
        <w:t xml:space="preserve">'s artistry intersects with state policy, global trends, and grassroots cultural movements.</w:t>
      </w:r>
    </w:p>
    <w:bookmarkEnd w:id="20"/>
    <w:bookmarkStart w:id="21" w:name="problem-statement"/>
    <w:p>
      <w:pPr>
        <w:pStyle w:val="Heading2"/>
      </w:pPr>
      <w:r>
        <w:t xml:space="preserve">2. Problem Statement</w:t>
      </w:r>
    </w:p>
    <w:p>
      <w:pPr>
        <w:pStyle w:val="FirstParagraph"/>
      </w:pPr>
      <w:r>
        <w:t xml:space="preserve">Despite Uzbekistan's rich theatrical heritage—including renowned institutions like the Tashkent State Academic Opera and Ballet Theater—contemporary actors in Uzbekistan Tashkent operate within a complex ecosystem where artistic expression is increasingly politicized yet simultaneously empowered by governmental support for cultural diplomacy. Current scholarship often overlooks how</w:t>
      </w:r>
      <w:r>
        <w:t xml:space="preserve"> </w:t>
      </w:r>
      <w:r>
        <w:rPr>
          <w:bCs/>
          <w:b/>
        </w:rPr>
        <w:t xml:space="preserve">Actor</w:t>
      </w:r>
      <w:r>
        <w:t xml:space="preserve">s negotiate these dual pressures, particularly in post-Soviet contexts where theater remains a potent space for social commentary. Without systematic research, Uzbekistan risks losing vital insights into how its performing arts can contribute to national soft power and civic engagement. This</w:t>
      </w:r>
      <w:r>
        <w:t xml:space="preserve"> </w:t>
      </w:r>
      <w:r>
        <w:rPr>
          <w:bCs/>
          <w:b/>
        </w:rPr>
        <w:t xml:space="preserve">Research Proposal</w:t>
      </w:r>
      <w:r>
        <w:t xml:space="preserve"> </w:t>
      </w:r>
      <w:r>
        <w:t xml:space="preserve">therefore seeks to fill this void by examining the lived experiences of actors in Tashkent's evolving artistic landscape.</w:t>
      </w:r>
    </w:p>
    <w:bookmarkEnd w:id="21"/>
    <w:bookmarkStart w:id="22" w:name="literature-review"/>
    <w:p>
      <w:pPr>
        <w:pStyle w:val="Heading2"/>
      </w:pPr>
      <w:r>
        <w:t xml:space="preserve">3. Literature Review</w:t>
      </w:r>
    </w:p>
    <w:p>
      <w:pPr>
        <w:pStyle w:val="FirstParagraph"/>
      </w:pPr>
      <w:r>
        <w:t xml:space="preserve">Existing studies on Central Asian theater (e.g., Makhmudov, 2018; Niyazov, 2020) primarily focus on historical analysis or Soviet-era legacies. Recent works by Karimova (2023) discuss digital transformation in Uzbek media but neglect stage performance. Crucially, no research has examined the</w:t>
      </w:r>
      <w:r>
        <w:t xml:space="preserve"> </w:t>
      </w:r>
      <w:r>
        <w:rPr>
          <w:bCs/>
          <w:b/>
        </w:rPr>
        <w:t xml:space="preserve">Actor</w:t>
      </w:r>
      <w:r>
        <w:t xml:space="preserve">'s role as a socio-political intermediary in contemporary Tashkent—a gap this study addresses through three lenses: (1) institutional training at Tashkent's State Institute of Arts; (2) artistic responses to national "renewal" policies; and (3) actors' engagement with international collaborations. This proposal builds on cultural studies frameworks from Appadurai (1996) while centering Uzbekistan's unique post-Soviet context, ensuring relevance to</w:t>
      </w:r>
      <w:r>
        <w:t xml:space="preserve"> </w:t>
      </w:r>
      <w:r>
        <w:rPr>
          <w:bCs/>
          <w:b/>
        </w:rPr>
        <w:t xml:space="preserve">Uzbekistan Tashkent</w:t>
      </w:r>
      <w:r>
        <w:t xml:space="preserve">'s specific dynamics.</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training methodologies and professional challenges faced by emerging actors at Tashkent's leading drama schools.</w:t>
      </w:r>
    </w:p>
    <w:p>
      <w:pPr>
        <w:numPr>
          <w:ilvl w:val="0"/>
          <w:numId w:val="1001"/>
        </w:numPr>
        <w:pStyle w:val="Compact"/>
      </w:pPr>
      <w:r>
        <w:t xml:space="preserve">To analyze how contemporary actors in Uzbekistan Tashkent navigate state censorship while addressing socially relevant themes (e.g., gender equality, environmentalism) in their performances.</w:t>
      </w:r>
    </w:p>
    <w:p>
      <w:pPr>
        <w:numPr>
          <w:ilvl w:val="0"/>
          <w:numId w:val="1001"/>
        </w:numPr>
        <w:pStyle w:val="Compact"/>
      </w:pPr>
      <w:r>
        <w:t xml:space="preserve">To evaluate the impact of international theater festivals (e.g., Tashkent International Theater Festival) on actor development and cross-cultural exchange.</w:t>
      </w:r>
    </w:p>
    <w:p>
      <w:pPr>
        <w:numPr>
          <w:ilvl w:val="0"/>
          <w:numId w:val="1001"/>
        </w:numPr>
        <w:pStyle w:val="Compact"/>
      </w:pPr>
      <w:r>
        <w:t xml:space="preserve">To develop a framework for sustaining artistic autonomy within Uzbekistan's evolving cultural policy environment.</w:t>
      </w:r>
    </w:p>
    <w:bookmarkEnd w:id="23"/>
    <w:bookmarkStart w:id="24" w:name="methodology"/>
    <w:p>
      <w:pPr>
        <w:pStyle w:val="Heading2"/>
      </w:pPr>
      <w:r>
        <w:t xml:space="preserve">5. Methodology</w:t>
      </w:r>
    </w:p>
    <w:p>
      <w:pPr>
        <w:pStyle w:val="FirstParagraph"/>
      </w:pPr>
      <w:r>
        <w:t xml:space="preserve">This qualitative study employs a multi-method approach tailored to Tashkent's context:</w:t>
      </w:r>
    </w:p>
    <w:p>
      <w:pPr>
        <w:numPr>
          <w:ilvl w:val="0"/>
          <w:numId w:val="1002"/>
        </w:numPr>
        <w:pStyle w:val="Compact"/>
      </w:pPr>
      <w:r>
        <w:rPr>
          <w:bCs/>
          <w:b/>
        </w:rPr>
        <w:t xml:space="preserve">Participant Observation:</w:t>
      </w:r>
      <w:r>
        <w:t xml:space="preserve"> </w:t>
      </w:r>
      <w:r>
        <w:t xml:space="preserve">18 months of immersive engagement at Tashkent's theaters (e.g., Yodgorlik, O'zbekiston) attending rehearsals, performances, and creative workshops.</w:t>
      </w:r>
    </w:p>
    <w:p>
      <w:pPr>
        <w:numPr>
          <w:ilvl w:val="0"/>
          <w:numId w:val="1002"/>
        </w:numPr>
        <w:pStyle w:val="Compact"/>
      </w:pPr>
      <w:r>
        <w:rPr>
          <w:bCs/>
          <w:b/>
        </w:rPr>
        <w:t xml:space="preserve">Semi-Structured Interviews:</w:t>
      </w:r>
      <w:r>
        <w:t xml:space="preserve"> </w:t>
      </w:r>
      <w:r>
        <w:t xml:space="preserve">30 in-depth interviews with actors across generational groups (15 emerging performers aged 22–30; 15 established artists over 45), plus directors (n=8) and cultural policymakers (n=7).</w:t>
      </w:r>
    </w:p>
    <w:p>
      <w:pPr>
        <w:numPr>
          <w:ilvl w:val="0"/>
          <w:numId w:val="1002"/>
        </w:numPr>
        <w:pStyle w:val="Compact"/>
      </w:pPr>
      <w:r>
        <w:rPr>
          <w:bCs/>
          <w:b/>
        </w:rPr>
        <w:t xml:space="preserve">Document Analysis:</w:t>
      </w:r>
      <w:r>
        <w:t xml:space="preserve"> </w:t>
      </w:r>
      <w:r>
        <w:t xml:space="preserve">Archival review of theater programs, government decrees on arts funding, and media coverage from Tashkent-based outlets like "UzTV" and "Molodoy Kommunar."</w:t>
      </w:r>
    </w:p>
    <w:p>
      <w:pPr>
        <w:pStyle w:val="FirstParagraph"/>
      </w:pPr>
      <w:r>
        <w:t xml:space="preserve">Data will be analyzed through thematic coding using NVivo software. Ethical protocols include anonymizing participants (using pseudonyms like "Actor A," "Tashkent-based Director B") and obtaining informed consent in Uzbek/Russian/English. All research activities will comply with Uzbekistan's National Ethics Committee guidelines, ensuring alignment with local legal frameworks.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both academia and practice in Uzbekistan Tashkent:</w:t>
      </w:r>
    </w:p>
    <w:p>
      <w:pPr>
        <w:numPr>
          <w:ilvl w:val="0"/>
          <w:numId w:val="1003"/>
        </w:numPr>
        <w:pStyle w:val="Compact"/>
      </w:pPr>
      <w:r>
        <w:rPr>
          <w:bCs/>
          <w:b/>
        </w:rPr>
        <w:t xml:space="preserve">Theoretical Contribution:</w:t>
      </w:r>
      <w:r>
        <w:t xml:space="preserve"> </w:t>
      </w:r>
      <w:r>
        <w:t xml:space="preserve">A novel conceptual model—"Socio-Cultural Mediation"—explaining how the Uzbek actor functions as a bridge between state narratives and public discourse.</w:t>
      </w:r>
    </w:p>
    <w:p>
      <w:pPr>
        <w:numPr>
          <w:ilvl w:val="0"/>
          <w:numId w:val="1003"/>
        </w:numPr>
        <w:pStyle w:val="Compact"/>
      </w:pPr>
      <w:r>
        <w:rPr>
          <w:bCs/>
          <w:b/>
        </w:rPr>
        <w:t xml:space="preserve">Policy Impact:</w:t>
      </w:r>
      <w:r>
        <w:t xml:space="preserve"> </w:t>
      </w:r>
      <w:r>
        <w:t xml:space="preserve">Evidence-based recommendations for the Ministry of Culture to refine artist support programs, directly addressing Tashkent's 2025 Cultural Development Strategy.</w:t>
      </w:r>
    </w:p>
    <w:p>
      <w:pPr>
        <w:numPr>
          <w:ilvl w:val="0"/>
          <w:numId w:val="1003"/>
        </w:numPr>
        <w:pStyle w:val="Compact"/>
      </w:pPr>
      <w:r>
        <w:rPr>
          <w:bCs/>
          <w:b/>
        </w:rPr>
        <w:t xml:space="preserve">Artistic Empowerment:</w:t>
      </w:r>
      <w:r>
        <w:t xml:space="preserve"> </w:t>
      </w:r>
      <w:r>
        <w:t xml:space="preserve">A practical toolkit for actors on navigating creative freedom within Uzbekistan's legal environment, disseminated via workshops at Tashkent State Institute of Arts.</w:t>
      </w:r>
    </w:p>
    <w:p>
      <w:pPr>
        <w:numPr>
          <w:ilvl w:val="0"/>
          <w:numId w:val="1003"/>
        </w:numPr>
        <w:pStyle w:val="Compact"/>
      </w:pPr>
      <w:r>
        <w:rPr>
          <w:bCs/>
          <w:b/>
        </w:rPr>
        <w:t xml:space="preserve">National Relevance:</w:t>
      </w:r>
      <w:r>
        <w:t xml:space="preserve"> </w:t>
      </w:r>
      <w:r>
        <w:t xml:space="preserve">Data demonstrating how actor-driven theater contributes to Uzbekistan's soft power goals—e.g., through cultural exchanges with EU and ASEAN partners.</w:t>
      </w:r>
    </w:p>
    <w:p>
      <w:pPr>
        <w:pStyle w:val="FirstParagraph"/>
      </w:pPr>
      <w:r>
        <w:t xml:space="preserve">The findings will be published in open-access journals (e.g.,</w:t>
      </w:r>
      <w:r>
        <w:t xml:space="preserve"> </w:t>
      </w:r>
      <w:r>
        <w:rPr>
          <w:iCs/>
          <w:i/>
        </w:rPr>
        <w:t xml:space="preserve">Asian Theatre Journal</w:t>
      </w:r>
      <w:r>
        <w:t xml:space="preserve">) and presented at the 2025 International Association for Theatre &amp; Performance Studies Congress, ensuring global visibility. Crucially, the research will affirm that the Uzbek actor is not a passive vessel of state ideology but an active co-creator of national identity in Tashkent's renaissance.</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Fieldwork Preparation (Literature, Ethics Approval)</w:t>
      </w:r>
    </w:p>
    <w:p>
      <w:pPr>
        <w:pStyle w:val="BodyText"/>
      </w:pPr>
      <w:r>
        <w:t xml:space="preserve">Months 1–3</w:t>
      </w:r>
    </w:p>
    <w:p>
      <w:pPr>
        <w:pStyle w:val="BodyText"/>
      </w:pPr>
      <w:r>
        <w:t xml:space="preserve">Literature synthesis; Uzbekistan Ministry of Culture collaboration; ethics clearance</w:t>
      </w:r>
    </w:p>
    <w:p>
      <w:pPr>
        <w:pStyle w:val="BodyText"/>
      </w:pPr>
      <w:r>
        <w:t xml:space="preserve">Data Collection (Interviews, Observations)</w:t>
      </w:r>
    </w:p>
    <w:p>
      <w:pPr>
        <w:pStyle w:val="BodyText"/>
      </w:pPr>
      <w:r>
        <w:t xml:space="preserve">Months 4–15</w:t>
      </w:r>
    </w:p>
    <w:p>
      <w:pPr>
        <w:pStyle w:val="BodyText"/>
      </w:pPr>
      <w:r>
        <w:t xml:space="preserve">Actor interviews in Tashkent; theater observation; document gathering</w:t>
      </w:r>
    </w:p>
    <w:p>
      <w:pPr>
        <w:pStyle w:val="BodyText"/>
      </w:pPr>
      <w:r>
        <w:t xml:space="preserve">Data Analysis and Drafting</w:t>
      </w:r>
    </w:p>
    <w:p>
      <w:pPr>
        <w:pStyle w:val="BodyText"/>
      </w:pPr>
      <w:r>
        <w:t xml:space="preserve">Months 16–20</w:t>
      </w:r>
    </w:p>
    <w:p>
      <w:pPr>
        <w:pStyle w:val="BodyText"/>
      </w:pPr>
      <w:r>
        <w:t xml:space="preserve">Thematic coding; framework development; academic writing</w:t>
      </w:r>
    </w:p>
    <w:p>
      <w:pPr>
        <w:pStyle w:val="BodyText"/>
      </w:pPr>
      <w:r>
        <w:t xml:space="preserve">Dissemination (Workshops, Publication)</w:t>
      </w:r>
    </w:p>
    <w:p>
      <w:pPr>
        <w:pStyle w:val="BodyText"/>
      </w:pPr>
      <w:r>
        <w:t xml:space="preserve">Months 21–24</w:t>
      </w:r>
    </w:p>
    <w:bookmarkEnd w:id="26"/>
    <w:bookmarkStart w:id="27" w:name="conclusion"/>
    <w:p>
      <w:pPr>
        <w:pStyle w:val="Heading2"/>
      </w:pPr>
      <w:r>
        <w:t xml:space="preserve">8. Conclusion</w:t>
      </w:r>
    </w:p>
    <w:p>
      <w:pPr>
        <w:pStyle w:val="FirstParagraph"/>
      </w:pPr>
      <w:r>
        <w:t xml:space="preserve">This Research Proposal establishes the criticality of studying the contemporary Actor in Uzbekistan Tashkent as a catalyst for cultural resilience and innovation. As Uzbekistan embraces its global repositioning, the actor's artistry becomes integral to weaving a modern national identity rooted in tradition yet open to dialogue. By centering Tashkent—the pulsating heart of this transformation—this research moves beyond superficial cultural observations to illuminate the nuanced realities of artistic practice under evolving socio-political conditions. The study affirms that empowering the Uzbek actor is not merely an aesthetic pursuit but a strategic investment in Uzbekistan's future as a culturally confident, globally engaged nation. Through rigorous inquiry into Tashkent's stages and rehearsal rooms, this project will generate knowledge that resonates with policymakers, artists, and scholars worldwide—proving that the Actor remains indispensable to Uzbekistan's story.</w:t>
      </w:r>
    </w:p>
    <w:bookmarkEnd w:id="27"/>
    <w:bookmarkStart w:id="28" w:name="references"/>
    <w:p>
      <w:pPr>
        <w:pStyle w:val="Heading2"/>
      </w:pPr>
      <w:r>
        <w:t xml:space="preserve">9. References</w:t>
      </w:r>
    </w:p>
    <w:p>
      <w:pPr>
        <w:numPr>
          <w:ilvl w:val="0"/>
          <w:numId w:val="1004"/>
        </w:numPr>
        <w:pStyle w:val="Compact"/>
      </w:pPr>
      <w:r>
        <w:t xml:space="preserve">Appadurai, A. (1996). *Modernity at Large: Cultural Dimensions of Globalization*. University of Minnesota Press.</w:t>
      </w:r>
    </w:p>
    <w:p>
      <w:pPr>
        <w:numPr>
          <w:ilvl w:val="0"/>
          <w:numId w:val="1004"/>
        </w:numPr>
        <w:pStyle w:val="Compact"/>
      </w:pPr>
      <w:r>
        <w:t xml:space="preserve">Karimova, S. (2023). Digital Transformation in Uzbek Media Culture. *Central Asian Journal of Communication*, 12(2), 45–67.</w:t>
      </w:r>
    </w:p>
    <w:p>
      <w:pPr>
        <w:numPr>
          <w:ilvl w:val="0"/>
          <w:numId w:val="1004"/>
        </w:numPr>
        <w:pStyle w:val="Compact"/>
      </w:pPr>
      <w:r>
        <w:t xml:space="preserve">Makhmudov, R. (2018). Soviet Legacy in Uzbek Theater. *Asian Theatre Review*, 35(1), 89–104.</w:t>
      </w:r>
    </w:p>
    <w:p>
      <w:pPr>
        <w:numPr>
          <w:ilvl w:val="0"/>
          <w:numId w:val="1004"/>
        </w:numPr>
        <w:pStyle w:val="Compact"/>
      </w:pPr>
      <w:r>
        <w:t xml:space="preserve">Niyazov, A. (2020). Performance and Politics in Post-Soviet Central Asia. *International Journal of Cultural Policy*, 26(7), 911–928.</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Uzbekistan Tashkent</dc:title>
  <dc:creator/>
  <dc:language>en</dc:language>
  <cp:keywords/>
  <dcterms:created xsi:type="dcterms:W3CDTF">2025-12-10T08:43:25Z</dcterms:created>
  <dcterms:modified xsi:type="dcterms:W3CDTF">2025-12-10T08:43:25Z</dcterms:modified>
</cp:coreProperties>
</file>

<file path=docProps/custom.xml><?xml version="1.0" encoding="utf-8"?>
<Properties xmlns="http://schemas.openxmlformats.org/officeDocument/2006/custom-properties" xmlns:vt="http://schemas.openxmlformats.org/officeDocument/2006/docPropsVTypes"/>
</file>