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Innovation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e82b280e1c488a555ec2aa3576c2feaafba9055"/>
    <w:p>
      <w:pPr>
        <w:pStyle w:val="Heading1"/>
      </w:pPr>
      <w:r>
        <w:t xml:space="preserve">Research Proposal: Advancing Aerospace Engineering Innovation in Malaysia Kuala Lumpur</w:t>
      </w:r>
    </w:p>
    <w:bookmarkStart w:id="20" w:name="introduction-and-background"/>
    <w:p>
      <w:pPr>
        <w:pStyle w:val="Heading2"/>
      </w:pPr>
      <w:r>
        <w:t xml:space="preserve">1. Introduction and Background</w:t>
      </w:r>
    </w:p>
    <w:p>
      <w:pPr>
        <w:pStyle w:val="FirstParagraph"/>
      </w:pPr>
      <w:r>
        <w:t xml:space="preserve">The aerospace sector represents a strategic pillar for national economic diversification and technological advancement in Malaysia. As the nation accelerates its vision towards becoming a high-income economy by 2030, leveraging aerospace engineering becomes critical for sustainable industrial growth. Currently, Malaysia's aerospace industry contributes approximately RM15 billion annually to the GDP, with Kuala Lumpur serving as the central hub for research institutions, manufacturing facilities (including MRO operations), and government agencies like the Malaysian Aerospace Industry Development Office (MAIDO). However, significant gaps persist in indigenous R&amp;D capabilities, particularly in next-generation propulsion systems and sustainable aviation technologies. This</w:t>
      </w:r>
      <w:r>
        <w:t xml:space="preserve"> </w:t>
      </w:r>
      <w:r>
        <w:rPr>
          <w:bCs/>
          <w:b/>
        </w:rPr>
        <w:t xml:space="preserve">Research Proposal</w:t>
      </w:r>
      <w:r>
        <w:t xml:space="preserve"> </w:t>
      </w:r>
      <w:r>
        <w:t xml:space="preserve">addresses these challenges by establishing a dedicated center for aerospace innovation within Malaysia Kuala Lumpur, positioning the nation to capture emerging opportunities in the global aerospace supply chain.</w:t>
      </w:r>
    </w:p>
    <w:bookmarkEnd w:id="20"/>
    <w:bookmarkStart w:id="21" w:name="problem-statement"/>
    <w:p>
      <w:pPr>
        <w:pStyle w:val="Heading2"/>
      </w:pPr>
      <w:r>
        <w:t xml:space="preserve">2. Problem Statement</w:t>
      </w:r>
    </w:p>
    <w:p>
      <w:pPr>
        <w:pStyle w:val="FirstParagraph"/>
      </w:pPr>
      <w:r>
        <w:t xml:space="preserve">Despite Malaysia's strategic location as a Southeast Asian aviation hub and its existing partnerships with international aerospace giants (e.g., Airbus, Boeing), the country remains heavily reliant on foreign technology transfer. Local</w:t>
      </w:r>
      <w:r>
        <w:t xml:space="preserve"> </w:t>
      </w:r>
      <w:r>
        <w:rPr>
          <w:bCs/>
          <w:b/>
        </w:rPr>
        <w:t xml:space="preserve">Aerospace Engineer</w:t>
      </w:r>
      <w:r>
        <w:t xml:space="preserve">s are primarily engaged in assembly and maintenance rather than cutting-edge design or materials development. Crucially, Malaysia lacks a centralized research ecosystem focused on solving region-specific challenges such as:</w:t>
      </w:r>
    </w:p>
    <w:p>
      <w:pPr>
        <w:numPr>
          <w:ilvl w:val="0"/>
          <w:numId w:val="1001"/>
        </w:numPr>
        <w:pStyle w:val="Compact"/>
      </w:pPr>
      <w:r>
        <w:t xml:space="preserve">Optimizing aircraft performance in tropical climate conditions (high humidity, temperature variations)</w:t>
      </w:r>
    </w:p>
    <w:p>
      <w:pPr>
        <w:numPr>
          <w:ilvl w:val="0"/>
          <w:numId w:val="1001"/>
        </w:numPr>
        <w:pStyle w:val="Compact"/>
      </w:pPr>
      <w:r>
        <w:t xml:space="preserve">Developing cost-effective composite materials for regional aircraft manufacturing</w:t>
      </w:r>
    </w:p>
    <w:p>
      <w:pPr>
        <w:numPr>
          <w:ilvl w:val="0"/>
          <w:numId w:val="1001"/>
        </w:numPr>
        <w:pStyle w:val="Compact"/>
      </w:pPr>
      <w:r>
        <w:t xml:space="preserve">Integrating AI-driven predictive maintenance systems for aging fleet operations</w:t>
      </w:r>
    </w:p>
    <w:p>
      <w:pPr>
        <w:pStyle w:val="FirstParagraph"/>
      </w:pPr>
      <w:r>
        <w:t xml:space="preserve">This dependency hinders Malaysia's ability to meet ASEAN's projected 2050 demand of 3,469 new aircraft and limits the career progression of local talent. The absence of a coordinated research framework in Kuala Lumpur exacerbates this bottleneck.</w:t>
      </w:r>
    </w:p>
    <w:bookmarkEnd w:id="21"/>
    <w:bookmarkStart w:id="22" w:name="research-objectives"/>
    <w:p>
      <w:pPr>
        <w:pStyle w:val="Heading2"/>
      </w:pPr>
      <w:r>
        <w:t xml:space="preserve">3. Research Objectives</w:t>
      </w:r>
    </w:p>
    <w:p>
      <w:pPr>
        <w:pStyle w:val="FirstParagraph"/>
      </w:pPr>
      <w:r>
        <w:t xml:space="preserve">This initiative proposes three interconnected objectives to be executed within Malaysia Kuala Lumpur:</w:t>
      </w:r>
    </w:p>
    <w:p>
      <w:pPr>
        <w:numPr>
          <w:ilvl w:val="0"/>
          <w:numId w:val="1002"/>
        </w:numPr>
        <w:pStyle w:val="Compact"/>
      </w:pPr>
      <w:r>
        <w:rPr>
          <w:bCs/>
          <w:b/>
        </w:rPr>
        <w:t xml:space="preserve">Establish the ASEAN Aerospace Innovation Hub (AAIH)</w:t>
      </w:r>
      <w:r>
        <w:t xml:space="preserve"> </w:t>
      </w:r>
      <w:r>
        <w:t xml:space="preserve">at the National University of Malaysia (UKM) in Kuala Lumpur, creating a collaborative platform for academia, industry (including MBB and ATR), and government.</w:t>
      </w:r>
    </w:p>
    <w:p>
      <w:pPr>
        <w:numPr>
          <w:ilvl w:val="0"/>
          <w:numId w:val="1002"/>
        </w:numPr>
        <w:pStyle w:val="Compact"/>
      </w:pPr>
      <w:r>
        <w:rPr>
          <w:bCs/>
          <w:b/>
        </w:rPr>
        <w:t xml:space="preserve">Develop tropical climate-adaptive aircraft components</w:t>
      </w:r>
      <w:r>
        <w:t xml:space="preserve">, focusing on corrosion-resistant airframe materials and humidity-tolerant avionics systems.</w:t>
      </w:r>
    </w:p>
    <w:bookmarkEnd w:id="22"/>
    <w:bookmarkStart w:id="27" w:name="methodology"/>
    <w:p>
      <w:pPr>
        <w:pStyle w:val="Heading2"/>
      </w:pPr>
      <w:r>
        <w:t xml:space="preserve">4. Methodology</w:t>
      </w:r>
    </w:p>
    <w:p>
      <w:pPr>
        <w:pStyle w:val="FirstParagraph"/>
      </w:pPr>
      <w:r>
        <w:t xml:space="preserve">The project will deploy a four-phase methodology over 36 months, with Kuala Lumpur as the operational epicenter:</w:t>
      </w:r>
    </w:p>
    <w:bookmarkStart w:id="23" w:name="Xa5198d75aa41be2f6a872a28eb826e233df1d44"/>
    <w:p>
      <w:pPr>
        <w:pStyle w:val="Heading3"/>
      </w:pPr>
      <w:r>
        <w:t xml:space="preserve">Phase 1: Infrastructure &amp; Partnership Building (Months 1-8)</w:t>
      </w:r>
    </w:p>
    <w:p>
      <w:pPr>
        <w:pStyle w:val="FirstParagraph"/>
      </w:pPr>
      <w:r>
        <w:t xml:space="preserve">Secure RM50 million in funding from the Ministry of Science, Technology and Innovation (MOSTI), Industry Malaysia, and private partners. Establish laboratory facilities at UKM's Aerospace Engineering Department, including a climate simulation chamber mimicking Kuala Lumpur's 27°C average temperature and 80% humidity. Forge MoUs with Airbus Malaysia (Kuala Lumpur facility) and MBB for technology access.</w:t>
      </w:r>
    </w:p>
    <w:bookmarkEnd w:id="23"/>
    <w:bookmarkStart w:id="24" w:name="Xb25fe0368eb86f895e1126e8413e9040c45e729"/>
    <w:p>
      <w:pPr>
        <w:pStyle w:val="Heading3"/>
      </w:pPr>
      <w:r>
        <w:t xml:space="preserve">Phase 2: Material Science Research (Months 9-18)</w:t>
      </w:r>
    </w:p>
    <w:p>
      <w:pPr>
        <w:pStyle w:val="FirstParagraph"/>
      </w:pPr>
      <w:r>
        <w:t xml:space="preserve">Collaborate with Universiti Teknologi Malaysia (UTM) to develop magnesium-aluminum composites resistant to tropical corrosion. Conduct accelerated aging tests in Kuala Lumpur's humidity chambers, analyzing material failure modes against standard aerospace alloys.</w:t>
      </w:r>
    </w:p>
    <w:bookmarkEnd w:id="24"/>
    <w:bookmarkStart w:id="25" w:name="phase-3-ai-integration-months-19-28"/>
    <w:p>
      <w:pPr>
        <w:pStyle w:val="Heading3"/>
      </w:pPr>
      <w:r>
        <w:t xml:space="preserve">Phase 3: AI Integration (Months 19-28)</w:t>
      </w:r>
    </w:p>
    <w:p>
      <w:pPr>
        <w:pStyle w:val="FirstParagraph"/>
      </w:pPr>
      <w:r>
        <w:t xml:space="preserve">Partner with local data firm DataMite to train machine learning models on AirAsia's maintenance datasets. Develop a cloud-based platform for real-time engine diagnostics, optimized for the specific operational patterns of Southeast Asian airlines.</w:t>
      </w:r>
    </w:p>
    <w:bookmarkEnd w:id="25"/>
    <w:bookmarkStart w:id="26" w:name="X9d003505bdf6f698f333f75e8a96ec92c687aaf"/>
    <w:p>
      <w:pPr>
        <w:pStyle w:val="Heading3"/>
      </w:pPr>
      <w:r>
        <w:t xml:space="preserve">Phase 4: Industry Deployment &amp; Impact Assessment (Months 29-36)</w:t>
      </w:r>
    </w:p>
    <w:p>
      <w:pPr>
        <w:pStyle w:val="FirstParagraph"/>
      </w:pPr>
      <w:r>
        <w:t xml:space="preserve">Pilot solutions with Malaysia Airlines and regional MROs in Kuala Lumpur. Measure outcomes against KPIs: cost reduction, maintenance cycle time, and local talent upskilling (targeting 150+ new</w:t>
      </w:r>
      <w:r>
        <w:t xml:space="preserve"> </w:t>
      </w:r>
      <w:r>
        <w:rPr>
          <w:bCs/>
          <w:b/>
        </w:rPr>
        <w:t xml:space="preserve">Aerospace Engineer</w:t>
      </w:r>
      <w:r>
        <w:t xml:space="preserve"> </w:t>
      </w:r>
      <w:r>
        <w:t xml:space="preserve">roles).</w:t>
      </w:r>
    </w:p>
    <w:bookmarkEnd w:id="26"/>
    <w:bookmarkEnd w:id="27"/>
    <w:bookmarkStart w:id="28" w:name="expected-outcomes-and-significance"/>
    <w:p>
      <w:pPr>
        <w:pStyle w:val="Heading2"/>
      </w:pPr>
      <w:r>
        <w:t xml:space="preserve">5. Expected Outcomes and Significance</w:t>
      </w:r>
    </w:p>
    <w:p>
      <w:pPr>
        <w:pStyle w:val="FirstParagraph"/>
      </w:pPr>
      <w:r>
        <w:t xml:space="preserve">This project will deliver transformative outcomes for Malaysia Kuala Lumpur:</w:t>
      </w:r>
    </w:p>
    <w:p>
      <w:pPr>
        <w:numPr>
          <w:ilvl w:val="0"/>
          <w:numId w:val="1003"/>
        </w:numPr>
        <w:pStyle w:val="Compact"/>
      </w:pPr>
      <w:r>
        <w:rPr>
          <w:bCs/>
          <w:b/>
        </w:rPr>
        <w:t xml:space="preserve">Technological Self-Sufficiency:</w:t>
      </w:r>
      <w:r>
        <w:t xml:space="preserve"> </w:t>
      </w:r>
      <w:r>
        <w:t xml:space="preserve">Reduce import dependency for critical components by 30% through locally developed materials, aligning with the National Aerospace Policy 2021-2035.</w:t>
      </w:r>
    </w:p>
    <w:p>
      <w:pPr>
        <w:numPr>
          <w:ilvl w:val="0"/>
          <w:numId w:val="1003"/>
        </w:numPr>
        <w:pStyle w:val="Compact"/>
      </w:pPr>
      <w:r>
        <w:rPr>
          <w:bCs/>
          <w:b/>
        </w:rPr>
        <w:t xml:space="preserve">Talent Development:</w:t>
      </w:r>
      <w:r>
        <w:t xml:space="preserve"> </w:t>
      </w:r>
      <w:r>
        <w:t xml:space="preserve">Train 50+ postgraduate students annually at AAIH, producing Malaysia's first cohort of specialized aerospace material scientists – addressing the current deficit of 6,800 skilled</w:t>
      </w:r>
      <w:r>
        <w:t xml:space="preserve"> </w:t>
      </w:r>
      <w:r>
        <w:rPr>
          <w:bCs/>
          <w:b/>
        </w:rPr>
        <w:t xml:space="preserve">Aerospace Engineer</w:t>
      </w:r>
      <w:r>
        <w:t xml:space="preserve">s in the national workforce.</w:t>
      </w:r>
    </w:p>
    <w:p>
      <w:pPr>
        <w:numPr>
          <w:ilvl w:val="0"/>
          <w:numId w:val="1003"/>
        </w:numPr>
        <w:pStyle w:val="Compact"/>
      </w:pPr>
      <w:r>
        <w:rPr>
          <w:bCs/>
          <w:b/>
        </w:rPr>
        <w:t xml:space="preserve">Economic Impact:</w:t>
      </w:r>
      <w:r>
        <w:t xml:space="preserve"> </w:t>
      </w:r>
      <w:r>
        <w:t xml:space="preserve">Attract RM120 million in foreign investment from Tier-2 aerospace suppliers seeking Malaysia's strategic location, directly supporting Kuala Lumpur's goal to become an ASEAN aerospace manufacturing center by 2030.</w:t>
      </w:r>
    </w:p>
    <w:p>
      <w:pPr>
        <w:numPr>
          <w:ilvl w:val="0"/>
          <w:numId w:val="1003"/>
        </w:numPr>
        <w:pStyle w:val="Compact"/>
      </w:pPr>
      <w:r>
        <w:rPr>
          <w:bCs/>
          <w:b/>
        </w:rPr>
        <w:t xml:space="preserve">Sustainability Leadership:</w:t>
      </w:r>
      <w:r>
        <w:t xml:space="preserve"> </w:t>
      </w:r>
      <w:r>
        <w:t xml:space="preserve">Develop lightweight components that reduce fuel consumption by 8%, supporting Malaysia's commitment to Net Zero 2050 and enhancing the appeal of Kuala Lumpur as a hub for green aviation tech.</w:t>
      </w:r>
    </w:p>
    <w:bookmarkEnd w:id="28"/>
    <w:bookmarkStart w:id="29" w:name="timeline-and-resource-allocation"/>
    <w:p>
      <w:pPr>
        <w:pStyle w:val="Heading2"/>
      </w:pPr>
      <w:r>
        <w:t xml:space="preserve">6. Timeline and Resource Allocation</w:t>
      </w:r>
    </w:p>
    <w:p>
      <w:pPr>
        <w:pStyle w:val="FirstParagraph"/>
      </w:pPr>
      <w:r>
        <w:t xml:space="preserve">A detailed Gantt chart (available in Appendix A) shows phased execution with key milestones:</w:t>
      </w:r>
    </w:p>
    <w:p>
      <w:pPr>
        <w:numPr>
          <w:ilvl w:val="0"/>
          <w:numId w:val="1004"/>
        </w:numPr>
        <w:pStyle w:val="Compact"/>
      </w:pPr>
      <w:r>
        <w:rPr>
          <w:bCs/>
          <w:b/>
        </w:rPr>
        <w:t xml:space="preserve">Month 10:</w:t>
      </w:r>
      <w:r>
        <w:t xml:space="preserve"> </w:t>
      </w:r>
      <w:r>
        <w:t xml:space="preserve">Completion of climate simulation chamber</w:t>
      </w:r>
    </w:p>
    <w:p>
      <w:pPr>
        <w:numPr>
          <w:ilvl w:val="0"/>
          <w:numId w:val="1004"/>
        </w:numPr>
        <w:pStyle w:val="Compact"/>
      </w:pPr>
      <w:r>
        <w:rPr>
          <w:bCs/>
          <w:b/>
        </w:rPr>
        <w:t xml:space="preserve">Month 20:</w:t>
      </w:r>
      <w:r>
        <w:t xml:space="preserve"> </w:t>
      </w:r>
      <w:r>
        <w:t xml:space="preserve">First prototype composite wing section tested</w:t>
      </w:r>
    </w:p>
    <w:p>
      <w:pPr>
        <w:numPr>
          <w:ilvl w:val="0"/>
          <w:numId w:val="1004"/>
        </w:numPr>
        <w:pStyle w:val="Compact"/>
      </w:pPr>
      <w:r>
        <w:rPr>
          <w:bCs/>
          <w:b/>
        </w:rPr>
        <w:t xml:space="preserve">Month 30:</w:t>
      </w:r>
      <w:r>
        <w:t xml:space="preserve"> </w:t>
      </w:r>
      <w:r>
        <w:t xml:space="preserve">AI platform deployed at Kuala Lumpur International Airport (KLIA) MRO facility</w:t>
      </w:r>
    </w:p>
    <w:bookmarkEnd w:id="29"/>
    <w:bookmarkStart w:id="30" w:name="X3d882796db7b1c0a746dc85a2f05f0ddb6af4b8"/>
    <w:p>
      <w:pPr>
        <w:pStyle w:val="Heading2"/>
      </w:pPr>
      <w:r>
        <w:t xml:space="preserve">7. Conclusion: Strategic Imperative for Malaysia Kuala Lumpur</w:t>
      </w:r>
    </w:p>
    <w:p>
      <w:pPr>
        <w:pStyle w:val="FirstParagraph"/>
      </w:pPr>
      <w:r>
        <w:t xml:space="preserve">In an era of global aerospace competition, this</w:t>
      </w:r>
      <w:r>
        <w:t xml:space="preserve"> </w:t>
      </w:r>
      <w:r>
        <w:rPr>
          <w:bCs/>
          <w:b/>
        </w:rPr>
        <w:t xml:space="preserve">Research Proposal</w:t>
      </w:r>
      <w:r>
        <w:t xml:space="preserve"> </w:t>
      </w:r>
      <w:r>
        <w:t xml:space="preserve">presents a catalytic opportunity to transform Malaysia Kuala Lumpur from a service-oriented hub into a knowledge-driven innovation center. By focusing R&amp;D on regional environmental challenges and leveraging Kuala Lumpur's existing infrastructure (KLIA, academic institutions, and government corridors), the project directly supports Malaysia's National Economic Transformation Programme. The successful execution will position local</w:t>
      </w:r>
      <w:r>
        <w:t xml:space="preserve"> </w:t>
      </w:r>
      <w:r>
        <w:rPr>
          <w:bCs/>
          <w:b/>
        </w:rPr>
        <w:t xml:space="preserve">Aerospace Engineer</w:t>
      </w:r>
      <w:r>
        <w:t xml:space="preserve">s as leaders in sustainable aviation solutions for tropical regions – a niche with global relevance given ASEAN's projected 50% market share growth by 2035. This initiative is not merely an academic exercise; it is a strategic investment in Malaysia's technological sovereignty, economic resilience, and leadership within the Southeast Asian aerospace ecosystem. We seek approval to launch the ASEAN Aerospace Innovation Hub in Kuala Lumpur as Phase 1 of this critical national endeavor.</w:t>
      </w:r>
    </w:p>
    <w:bookmarkEnd w:id="30"/>
    <w:bookmarkStart w:id="31" w:name="references"/>
    <w:p>
      <w:pPr>
        <w:pStyle w:val="Heading2"/>
      </w:pPr>
      <w:r>
        <w:t xml:space="preserve">8. References</w:t>
      </w:r>
    </w:p>
    <w:p>
      <w:pPr>
        <w:pStyle w:val="FirstParagraph"/>
      </w:pPr>
      <w:r>
        <w:t xml:space="preserve">Ministry of Science, Technology and Innovation Malaysia (MOSTI). (2021). *National Aerospace Policy 2021-2035*. Kuala Lumpur: Government Press.</w:t>
      </w:r>
      <w:r>
        <w:br/>
      </w:r>
      <w:r>
        <w:t xml:space="preserve">Malaysian Industry-Government Group for High Technology (MIGHT). (2023). *Aerospace Sector Development Roadmap*. Kuala Lumpur.</w:t>
      </w:r>
      <w:r>
        <w:br/>
      </w:r>
      <w:r>
        <w:t xml:space="preserve">International Air Transport Association (IATA). (2024). *Asia-Pacific Aviation Forecast 2050*. Geneva: IATA Publications.</w:t>
      </w:r>
      <w:r>
        <w:br/>
      </w:r>
      <w:r>
        <w:t xml:space="preserve">Malaysia Airlines. (2023). *Sustainability Report: Greening Southeast Asia's Skies*. Kuala Lumpur.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Innovation in Malaysia Kuala Lumpur</dc:title>
  <dc:creator/>
  <dc:language>en</dc:language>
  <cp:keywords/>
  <dcterms:created xsi:type="dcterms:W3CDTF">2026-07-21T16:00:38Z</dcterms:created>
  <dcterms:modified xsi:type="dcterms:W3CDTF">2026-07-21T16:00:38Z</dcterms:modified>
</cp:coreProperties>
</file>

<file path=docProps/custom.xml><?xml version="1.0" encoding="utf-8"?>
<Properties xmlns="http://schemas.openxmlformats.org/officeDocument/2006/custom-properties" xmlns:vt="http://schemas.openxmlformats.org/officeDocument/2006/docPropsVTypes"/>
</file>