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Next-Generation</w:t>
      </w:r>
      <w:r>
        <w:t xml:space="preserve"> </w:t>
      </w:r>
      <w:r>
        <w:t xml:space="preserve">Propulsion</w:t>
      </w:r>
      <w:r>
        <w:t xml:space="preserve"> </w:t>
      </w:r>
      <w:r>
        <w:t xml:space="preserve">Systems</w:t>
      </w:r>
      <w:r>
        <w:t xml:space="preserve"> </w:t>
      </w:r>
      <w:r>
        <w:t xml:space="preserve">for</w:t>
      </w:r>
      <w:r>
        <w:t xml:space="preserve"> </w:t>
      </w:r>
      <w:r>
        <w:t xml:space="preserve">Sustainable</w:t>
      </w:r>
      <w:r>
        <w:t xml:space="preserve"> </w:t>
      </w:r>
      <w:r>
        <w:t xml:space="preserve">Space</w:t>
      </w:r>
      <w:r>
        <w:t xml:space="preserve"> </w:t>
      </w:r>
      <w:r>
        <w:t xml:space="preserve">Exploration</w:t>
      </w:r>
    </w:p>
    <w:bookmarkStart w:id="29" w:name="X016153ea4d9afc8cff3267df79058851c2dc89b"/>
    <w:p>
      <w:pPr>
        <w:pStyle w:val="Heading1"/>
      </w:pPr>
      <w:r>
        <w:t xml:space="preserve">Research Proposal: Advancing Next-Generation Propulsion Systems for Sustainable Space Exploration in Russia Moscow Context</w:t>
      </w:r>
    </w:p>
    <w:bookmarkStart w:id="20" w:name="introduction-and-background"/>
    <w:p>
      <w:pPr>
        <w:pStyle w:val="Heading2"/>
      </w:pPr>
      <w:r>
        <w:t xml:space="preserve">1. Introduction and Background</w:t>
      </w:r>
    </w:p>
    <w:p>
      <w:pPr>
        <w:pStyle w:val="FirstParagraph"/>
      </w:pPr>
      <w:r>
        <w:t xml:space="preserve">The Russian aerospace industry, centered in the dynamic metropolis of Moscow, stands at a pivotal juncture in global space exploration. As a historic leader with renowned institutions like Roscosmos, NPO Energiya, and MiG aircraft design bureaus operating from Moscow's technological hubs, Russia maintains critical expertise in propulsion systems dating back to the Sputnik era. However, contemporary challenges—including geopolitical constraints on international collaboration, rising demand for sustainable space access, and competition from emerging spacefaring nations—necessitate innovative research pathways. This</w:t>
      </w:r>
      <w:r>
        <w:t xml:space="preserve"> </w:t>
      </w:r>
      <w:r>
        <w:rPr>
          <w:bCs/>
          <w:b/>
        </w:rPr>
        <w:t xml:space="preserve">Research Proposal</w:t>
      </w:r>
      <w:r>
        <w:t xml:space="preserve"> </w:t>
      </w:r>
      <w:r>
        <w:t xml:space="preserve">outlines a strategic initiative for an</w:t>
      </w:r>
      <w:r>
        <w:t xml:space="preserve"> </w:t>
      </w:r>
      <w:r>
        <w:rPr>
          <w:bCs/>
          <w:b/>
        </w:rPr>
        <w:t xml:space="preserve">Aerospace Engineer</w:t>
      </w:r>
      <w:r>
        <w:t xml:space="preserve"> </w:t>
      </w:r>
      <w:r>
        <w:t xml:space="preserve">to develop advanced propulsion technologies within the Russian framework, specifically targeting Moscow-based industrial and academic ecosystems. The project aligns with Russia's National Space Program (2021-2030), which prioritizes "green propulsion" and technological sovereignty.</w:t>
      </w:r>
    </w:p>
    <w:bookmarkEnd w:id="20"/>
    <w:bookmarkStart w:id="21" w:name="problem-statement"/>
    <w:p>
      <w:pPr>
        <w:pStyle w:val="Heading2"/>
      </w:pPr>
      <w:r>
        <w:t xml:space="preserve">2. Problem Statement</w:t>
      </w:r>
    </w:p>
    <w:p>
      <w:pPr>
        <w:pStyle w:val="FirstParagraph"/>
      </w:pPr>
      <w:r>
        <w:t xml:space="preserve">Current rocket propulsion systems employed by Russian launch vehicles (e.g., Soyuz, Angara) rely heavily on hypergolic propellants, which are toxic, expensive to handle, and environmentally damaging. With global momentum toward sustainability—exemplified by NASA's green propellant initiatives and ESA's Clean Space program—Russia faces pressure to modernize its aerospace sector. Crucially, Moscow-based manufacturers lack integrated R&amp;D frameworks for next-generation propulsion (e.g., electric ion thrusters, hydrogen-fueled engines) that could reduce launch costs by 30% while minimizing ecological impact. This gap hinders Russia's ability to compete in the commercial satellite market and fulfill its commitments under international space treaties. Without urgent innovation, Russia risks ceding leadership in the $40B+ global launch services industry.</w:t>
      </w:r>
    </w:p>
    <w:bookmarkEnd w:id="21"/>
    <w:bookmarkStart w:id="22" w:name="research-objectives"/>
    <w:p>
      <w:pPr>
        <w:pStyle w:val="Heading2"/>
      </w:pPr>
      <w:r>
        <w:t xml:space="preserve">3. Research Objectives</w:t>
      </w:r>
    </w:p>
    <w:p>
      <w:pPr>
        <w:pStyle w:val="FirstParagraph"/>
      </w:pPr>
      <w:r>
        <w:t xml:space="preserve">This project aims to develop a novel propulsion system for small-lift orbital vehicles, with specific focus on Moscow’s industrial capabilities. Key objectives include:</w:t>
      </w:r>
    </w:p>
    <w:p>
      <w:pPr>
        <w:numPr>
          <w:ilvl w:val="0"/>
          <w:numId w:val="1001"/>
        </w:numPr>
        <w:pStyle w:val="Compact"/>
      </w:pPr>
      <w:r>
        <w:rPr>
          <w:bCs/>
          <w:b/>
        </w:rPr>
        <w:t xml:space="preserve">Objective 1:</w:t>
      </w:r>
      <w:r>
        <w:t xml:space="preserve"> </w:t>
      </w:r>
      <w:r>
        <w:t xml:space="preserve">Design a low-toxicity, high-efficiency liquid oxygen/methane (LOX/CH</w:t>
      </w:r>
      <w:r>
        <w:rPr>
          <w:vertAlign w:val="subscript"/>
        </w:rPr>
        <w:t xml:space="preserve">4</w:t>
      </w:r>
      <w:r>
        <w:t xml:space="preserve">) engine prototype, leveraging Moscow's existing cryogenic fuel infrastructure at facilities like the Kuznetsov Design Bureau.</w:t>
      </w:r>
    </w:p>
    <w:p>
      <w:pPr>
        <w:numPr>
          <w:ilvl w:val="0"/>
          <w:numId w:val="1001"/>
        </w:numPr>
        <w:pStyle w:val="Compact"/>
      </w:pPr>
      <w:r>
        <w:rPr>
          <w:bCs/>
          <w:b/>
        </w:rPr>
        <w:t xml:space="preserve">Objective 2:</w:t>
      </w:r>
      <w:r>
        <w:t xml:space="preserve"> </w:t>
      </w:r>
      <w:r>
        <w:t xml:space="preserve">Integrate AI-driven combustion optimization software to enhance thrust efficiency by ≥15%, utilizing computational resources at Moscow State Technical University (MSTU).</w:t>
      </w:r>
    </w:p>
    <w:p>
      <w:pPr>
        <w:numPr>
          <w:ilvl w:val="0"/>
          <w:numId w:val="1001"/>
        </w:numPr>
        <w:pStyle w:val="Compact"/>
      </w:pPr>
      <w:r>
        <w:rPr>
          <w:bCs/>
          <w:b/>
        </w:rPr>
        <w:t xml:space="preserve">Objective 3:</w:t>
      </w:r>
      <w:r>
        <w:t xml:space="preserve"> </w:t>
      </w:r>
      <w:r>
        <w:t xml:space="preserve">Establish a collaborative pilot testing network with Moscow-based institutions (e.g., TsAGI Aerodynamics Institute, Skolkovo Innovation Center) to validate systems under Russian atmospheric conditions.</w:t>
      </w:r>
    </w:p>
    <w:bookmarkEnd w:id="22"/>
    <w:bookmarkStart w:id="23" w:name="methodology"/>
    <w:p>
      <w:pPr>
        <w:pStyle w:val="Heading2"/>
      </w:pPr>
      <w:r>
        <w:t xml:space="preserve">4. Methodology</w:t>
      </w:r>
    </w:p>
    <w:p>
      <w:pPr>
        <w:pStyle w:val="FirstParagraph"/>
      </w:pPr>
      <w:r>
        <w:t xml:space="preserve">The research will employ a multidisciplinary approach rooted in Moscow's aerospace ecosystem:</w:t>
      </w:r>
    </w:p>
    <w:p>
      <w:pPr>
        <w:numPr>
          <w:ilvl w:val="0"/>
          <w:numId w:val="1002"/>
        </w:numPr>
        <w:pStyle w:val="Compact"/>
      </w:pPr>
      <w:r>
        <w:rPr>
          <w:bCs/>
          <w:b/>
        </w:rPr>
        <w:t xml:space="preserve">Phase 1 (Months 1-6):</w:t>
      </w:r>
      <w:r>
        <w:t xml:space="preserve"> </w:t>
      </w:r>
      <w:r>
        <w:t xml:space="preserve">Comprehensive literature review of Russian propulsion patents and global advancements, with analysis of technical constraints specific to Russia's manufacturing standards. This will include collaboration with the Russian Academy of Sciences' Space Research Institute in Moscow.</w:t>
      </w:r>
    </w:p>
    <w:p>
      <w:pPr>
        <w:numPr>
          <w:ilvl w:val="0"/>
          <w:numId w:val="1002"/>
        </w:numPr>
        <w:pStyle w:val="Compact"/>
      </w:pPr>
      <w:r>
        <w:rPr>
          <w:bCs/>
          <w:b/>
        </w:rPr>
        <w:t xml:space="preserve">Phase 2 (Months 7-18):</w:t>
      </w:r>
      <w:r>
        <w:t xml:space="preserve"> </w:t>
      </w:r>
      <w:r>
        <w:t xml:space="preserve">Computational fluid dynamics (CFD) modeling at Moscow Aviation Institute (MAI), focusing on methane combustion stability. Hardware prototyping will occur at NPP "Energomash" facilities in Moscow Region, with real-time data sharing via the "Space Data Cloud" platform.</w:t>
      </w:r>
    </w:p>
    <w:p>
      <w:pPr>
        <w:numPr>
          <w:ilvl w:val="0"/>
          <w:numId w:val="1002"/>
        </w:numPr>
        <w:pStyle w:val="Compact"/>
      </w:pPr>
      <w:r>
        <w:rPr>
          <w:bCs/>
          <w:b/>
        </w:rPr>
        <w:t xml:space="preserve">Phase 3 (Months 19-24):</w:t>
      </w:r>
      <w:r>
        <w:t xml:space="preserve"> </w:t>
      </w:r>
      <w:r>
        <w:t xml:space="preserve">Ground testing at the Gagarin Cosmonaut Training Center in Star City (near Moscow), followed by flight demonstration on a modified Angara A5 rocket. Safety protocols will adhere to Russian Federal Space Agency (Roscosmos) regulations.</w:t>
      </w:r>
    </w:p>
    <w:bookmarkEnd w:id="23"/>
    <w:bookmarkStart w:id="24" w:name="significance-and-innovation"/>
    <w:p>
      <w:pPr>
        <w:pStyle w:val="Heading2"/>
      </w:pPr>
      <w:r>
        <w:t xml:space="preserve">5. Significance and Innovation</w:t>
      </w:r>
    </w:p>
    <w:p>
      <w:pPr>
        <w:pStyle w:val="FirstParagraph"/>
      </w:pPr>
      <w:r>
        <w:t xml:space="preserve">This</w:t>
      </w:r>
      <w:r>
        <w:t xml:space="preserve"> </w:t>
      </w:r>
      <w:r>
        <w:rPr>
          <w:bCs/>
          <w:b/>
        </w:rPr>
        <w:t xml:space="preserve">Aerospace Engineer</w:t>
      </w:r>
      <w:r>
        <w:t xml:space="preserve">-led initiative directly addresses critical needs for Russia Moscow:</w:t>
      </w:r>
    </w:p>
    <w:p>
      <w:pPr>
        <w:numPr>
          <w:ilvl w:val="0"/>
          <w:numId w:val="1003"/>
        </w:numPr>
        <w:pStyle w:val="Compact"/>
      </w:pPr>
      <w:r>
        <w:rPr>
          <w:bCs/>
          <w:b/>
        </w:rPr>
        <w:t xml:space="preserve">Technological Sovereignty:</w:t>
      </w:r>
      <w:r>
        <w:t xml:space="preserve"> </w:t>
      </w:r>
      <w:r>
        <w:t xml:space="preserve">Reduces dependency on foreign propulsion components, supporting Russia's strategic goal of self-reliance in space access.</w:t>
      </w:r>
    </w:p>
    <w:p>
      <w:pPr>
        <w:numPr>
          <w:ilvl w:val="0"/>
          <w:numId w:val="1003"/>
        </w:numPr>
        <w:pStyle w:val="Compact"/>
      </w:pPr>
      <w:r>
        <w:rPr>
          <w:bCs/>
          <w:b/>
        </w:rPr>
        <w:t xml:space="preserve">Sustainability Impact:</w:t>
      </w:r>
      <w:r>
        <w:t xml:space="preserve"> </w:t>
      </w:r>
      <w:r>
        <w:t xml:space="preserve">LOX/CH</w:t>
      </w:r>
      <w:r>
        <w:rPr>
          <w:vertAlign w:val="subscript"/>
        </w:rPr>
        <w:t xml:space="preserve">4</w:t>
      </w:r>
      <w:r>
        <w:t xml:space="preserve"> </w:t>
      </w:r>
      <w:r>
        <w:t xml:space="preserve">propellants eliminate toxic emissions (e.g., nitrogen tetroxide), aligning with Moscow's 2030 Green City Initiative and global environmental standards.</w:t>
      </w:r>
    </w:p>
    <w:p>
      <w:pPr>
        <w:numPr>
          <w:ilvl w:val="0"/>
          <w:numId w:val="1003"/>
        </w:numPr>
        <w:pStyle w:val="Compact"/>
      </w:pPr>
      <w:r>
        <w:rPr>
          <w:bCs/>
          <w:b/>
        </w:rPr>
        <w:t xml:space="preserve">Economic Growth:</w:t>
      </w:r>
      <w:r>
        <w:t xml:space="preserve"> </w:t>
      </w:r>
      <w:r>
        <w:t xml:space="preserve">Projected to lower launch costs by $5M per mission, positioning Russian providers competitively against SpaceX. The Moscow innovation cluster will generate 15-20 high-skilled engineering jobs annually.</w:t>
      </w:r>
    </w:p>
    <w:p>
      <w:pPr>
        <w:numPr>
          <w:ilvl w:val="0"/>
          <w:numId w:val="1003"/>
        </w:numPr>
        <w:pStyle w:val="Compact"/>
      </w:pPr>
      <w:r>
        <w:rPr>
          <w:bCs/>
          <w:b/>
        </w:rPr>
        <w:t xml:space="preserve">Academic Integration:</w:t>
      </w:r>
      <w:r>
        <w:t xml:space="preserve"> </w:t>
      </w:r>
      <w:r>
        <w:t xml:space="preserve">Creates a knowledge transfer framework between Moscow universities (e.g., MIPT, MSU) and industry, addressing the national skill gap in advanced propulsion systems.</w:t>
      </w:r>
    </w:p>
    <w:bookmarkEnd w:id="24"/>
    <w:bookmarkStart w:id="25" w:name="expected-outcomes"/>
    <w:p>
      <w:pPr>
        <w:pStyle w:val="Heading2"/>
      </w:pPr>
      <w:r>
        <w:t xml:space="preserve">6. Expected Outcomes</w:t>
      </w:r>
    </w:p>
    <w:p>
      <w:pPr>
        <w:pStyle w:val="FirstParagraph"/>
      </w:pPr>
      <w:r>
        <w:t xml:space="preserve">The research will deliver three transformative outputs for the Russian space sector:</w:t>
      </w:r>
    </w:p>
    <w:p>
      <w:pPr>
        <w:numPr>
          <w:ilvl w:val="0"/>
          <w:numId w:val="1004"/>
        </w:numPr>
        <w:pStyle w:val="Compact"/>
      </w:pPr>
      <w:r>
        <w:t xml:space="preserve">A fully functional LOX/CH</w:t>
      </w:r>
      <w:r>
        <w:rPr>
          <w:vertAlign w:val="subscript"/>
        </w:rPr>
        <w:t xml:space="preserve">4</w:t>
      </w:r>
      <w:r>
        <w:t xml:space="preserve"> </w:t>
      </w:r>
      <w:r>
        <w:t xml:space="preserve">engine prototype (30 kN thrust) meeting Roscosmos’ 2025 technical specifications.</w:t>
      </w:r>
    </w:p>
    <w:p>
      <w:pPr>
        <w:numPr>
          <w:ilvl w:val="0"/>
          <w:numId w:val="1004"/>
        </w:numPr>
        <w:pStyle w:val="Compact"/>
      </w:pPr>
      <w:r>
        <w:t xml:space="preserve">A validated AI optimization toolkit (named "SoyuzOpt") for combustion analysis, deployable across Moscow-based manufacturing facilities.</w:t>
      </w:r>
    </w:p>
    <w:p>
      <w:pPr>
        <w:numPr>
          <w:ilvl w:val="0"/>
          <w:numId w:val="1004"/>
        </w:numPr>
        <w:pStyle w:val="Compact"/>
      </w:pPr>
      <w:r>
        <w:t xml:space="preserve">A roadmap for scaling the technology to heavy-lift vehicles (e.g., Angara A7), with potential integration into Russia’s future lunar exploration program.</w:t>
      </w:r>
    </w:p>
    <w:bookmarkEnd w:id="25"/>
    <w:bookmarkStart w:id="26" w:name="X6c365a780865d64aa9ae67a9d7f51f782954aff"/>
    <w:p>
      <w:pPr>
        <w:pStyle w:val="Heading2"/>
      </w:pPr>
      <w:r>
        <w:t xml:space="preserve">7. Alignment with Russia Moscow Strategic Priorities</w:t>
      </w:r>
    </w:p>
    <w:p>
      <w:pPr>
        <w:pStyle w:val="FirstParagraph"/>
      </w:pPr>
      <w:r>
        <w:t xml:space="preserve">This project explicitly supports key national directives:</w:t>
      </w:r>
    </w:p>
    <w:p>
      <w:pPr>
        <w:numPr>
          <w:ilvl w:val="0"/>
          <w:numId w:val="1005"/>
        </w:numPr>
        <w:pStyle w:val="Compact"/>
      </w:pPr>
      <w:r>
        <w:t xml:space="preserve">Compliance with the 2030 Strategy for Development of the Russian Space Industry (Article 4.1), which mandates "ecological modernization of propulsion systems."</w:t>
      </w:r>
    </w:p>
    <w:p>
      <w:pPr>
        <w:numPr>
          <w:ilvl w:val="0"/>
          <w:numId w:val="1005"/>
        </w:numPr>
        <w:pStyle w:val="Compact"/>
      </w:pPr>
      <w:r>
        <w:t xml:space="preserve">Contribution to Moscow’s "Digital City" initiative through AI integration in aerospace R&amp;D, utilizing existing infrastructure at Skolkovo.</w:t>
      </w:r>
    </w:p>
    <w:p>
      <w:pPr>
        <w:numPr>
          <w:ilvl w:val="0"/>
          <w:numId w:val="1005"/>
        </w:numPr>
        <w:pStyle w:val="Compact"/>
      </w:pPr>
      <w:r>
        <w:t xml:space="preserve">Strengthening Russia’s role in the BRICS Space Cooperation framework, where Moscow leads technical collaboration on sustainable space technologies.</w:t>
      </w:r>
    </w:p>
    <w:bookmarkEnd w:id="26"/>
    <w:bookmarkStart w:id="27" w:name="conclusion"/>
    <w:p>
      <w:pPr>
        <w:pStyle w:val="Heading2"/>
      </w:pPr>
      <w:r>
        <w:t xml:space="preserve">8. Conclusion</w:t>
      </w:r>
    </w:p>
    <w:p>
      <w:pPr>
        <w:pStyle w:val="FirstParagraph"/>
      </w:pPr>
      <w:r>
        <w:t xml:space="preserve">The proposed research represents a vital investment in Russia's aerospace future, anchored in the intellectual and industrial powerhouse of Moscow. By addressing propulsion sustainability through a domestically driven, collaborative model, this project positions an</w:t>
      </w:r>
      <w:r>
        <w:t xml:space="preserve"> </w:t>
      </w:r>
      <w:r>
        <w:rPr>
          <w:bCs/>
          <w:b/>
        </w:rPr>
        <w:t xml:space="preserve">Aerospace Engineer</w:t>
      </w:r>
      <w:r>
        <w:t xml:space="preserve"> </w:t>
      </w:r>
      <w:r>
        <w:t xml:space="preserve">as a catalyst for technological renaissance within the Russian space sector. The outcomes will not only enhance Roscosmos' global competitiveness but also reinforce Moscow's status as a nexus for cutting-edge aerospace innovation in the Eurasian region. With robust institutional backing from Moscow-based entities and alignment with national strategic goals, this</w:t>
      </w:r>
      <w:r>
        <w:t xml:space="preserve"> </w:t>
      </w:r>
      <w:r>
        <w:rPr>
          <w:bCs/>
          <w:b/>
        </w:rPr>
        <w:t xml:space="preserve">Research Proposal</w:t>
      </w:r>
      <w:r>
        <w:t xml:space="preserve"> </w:t>
      </w:r>
      <w:r>
        <w:t xml:space="preserve">offers a clear pathway to transform Russia's space ambitions into tangible, sustainable reality. We request funding and partnership support to initiate this critical initiative within the next 90 days, ensuring Russia maintains its legacy as a pioneer in human space exploration while embracing a greener future.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Next-Generation Propulsion Systems for Sustainable Space Exploration</dc:title>
  <dc:creator/>
  <dc:language>en</dc:language>
  <cp:keywords/>
  <dcterms:created xsi:type="dcterms:W3CDTF">2026-07-23T02:40:46Z</dcterms:created>
  <dcterms:modified xsi:type="dcterms:W3CDTF">2026-07-23T02:40:46Z</dcterms:modified>
</cp:coreProperties>
</file>

<file path=docProps/custom.xml><?xml version="1.0" encoding="utf-8"?>
<Properties xmlns="http://schemas.openxmlformats.org/officeDocument/2006/custom-properties" xmlns:vt="http://schemas.openxmlformats.org/officeDocument/2006/docPropsVTypes"/>
</file>