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31" w:name="X1d42524bb8500e3a2634fb9a7d9b601da37870b"/>
    <w:p>
      <w:pPr>
        <w:pStyle w:val="Heading1"/>
      </w:pPr>
      <w:r>
        <w:t xml:space="preserve">Research Proposal: Development of Next-Generation Hybrid Propulsion Systems for Urban Air Mobility in Turkey Ankara</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sustainable technologies, with urban air mobility (UAM) emerging as a critical frontier. In</w:t>
      </w:r>
      <w:r>
        <w:t xml:space="preserve"> </w:t>
      </w:r>
      <w:r>
        <w:rPr>
          <w:bCs/>
          <w:b/>
        </w:rPr>
        <w:t xml:space="preserve">Turkey Ankara</w:t>
      </w:r>
      <w:r>
        <w:t xml:space="preserve">, this evolution presents an unprecedented opportunity to position the nation as a regional leader in advanced aerospace engineering. As the capital city hosting Turkey's premier research institutions including Middle East Technical University (METU), Hacettepe University, and TÜBİTAK UZAY, Ankara serves as the epicenter for national aerospace innovation. This</w:t>
      </w:r>
      <w:r>
        <w:t xml:space="preserve"> </w:t>
      </w:r>
      <w:r>
        <w:rPr>
          <w:bCs/>
          <w:b/>
        </w:rPr>
        <w:t xml:space="preserve">Research Proposal</w:t>
      </w:r>
      <w:r>
        <w:t xml:space="preserve"> </w:t>
      </w:r>
      <w:r>
        <w:t xml:space="preserve">outlines a strategic initiative to develop hybrid propulsion systems specifically designed for UAM vehicles, directly addressing Turkey's 2035 National Aerospace Strategy priorities. The project will be spearheaded by a multidisciplinary team of leading</w:t>
      </w:r>
      <w:r>
        <w:t xml:space="preserve"> </w:t>
      </w:r>
      <w:r>
        <w:rPr>
          <w:bCs/>
          <w:b/>
        </w:rPr>
        <w:t xml:space="preserve">Aerospace Engineer</w:t>
      </w:r>
      <w:r>
        <w:t xml:space="preserve">s based in Ankara, leveraging the city's unique ecosystem of academic excellence and industry partnerships.</w:t>
      </w:r>
    </w:p>
    <w:bookmarkEnd w:id="20"/>
    <w:bookmarkStart w:id="21" w:name="problem-statement"/>
    <w:p>
      <w:pPr>
        <w:pStyle w:val="Heading2"/>
      </w:pPr>
      <w:r>
        <w:t xml:space="preserve">2. Problem Statement</w:t>
      </w:r>
    </w:p>
    <w:p>
      <w:pPr>
        <w:pStyle w:val="FirstParagraph"/>
      </w:pPr>
      <w:r>
        <w:t xml:space="preserve">Current UAM propulsion systems face critical limitations including high energy consumption, noise pollution exceeding urban regulations (≤45 dB), and limited operational range—challenges that hinder commercial viability in densely populated cities like Ankara. Turkey's domestic aerospace sector currently relies on imported technologies for 85% of propulsion components, creating supply chain vulnerabilities. As the world's fastest-growing UAM market anticipates 10,000+ vehicles by 2035 (per Airbus projections), Turkey risks missing this economic opportunity without localized R&amp;D capacity. This gap represents a strategic imperative for</w:t>
      </w:r>
      <w:r>
        <w:t xml:space="preserve"> </w:t>
      </w:r>
      <w:r>
        <w:rPr>
          <w:bCs/>
          <w:b/>
        </w:rPr>
        <w:t xml:space="preserve">Turkey Ankara</w:t>
      </w:r>
      <w:r>
        <w:t xml:space="preserve"> </w:t>
      </w:r>
      <w:r>
        <w:t xml:space="preserve">to establish indigenous propulsion expertise that aligns with NATO's Defense Innovation Accelerator for the North Atlantic (DIANA) standards and Türkiye's National Innovation Strategy.</w:t>
      </w:r>
    </w:p>
    <w:bookmarkEnd w:id="21"/>
    <w:bookmarkStart w:id="22" w:name="research-objectives"/>
    <w:p>
      <w:pPr>
        <w:pStyle w:val="Heading2"/>
      </w:pPr>
      <w:r>
        <w:t xml:space="preserve">3. Research Objectives</w:t>
      </w:r>
    </w:p>
    <w:p>
      <w:pPr>
        <w:numPr>
          <w:ilvl w:val="0"/>
          <w:numId w:val="1001"/>
        </w:numPr>
        <w:pStyle w:val="Compact"/>
      </w:pPr>
      <w:r>
        <w:t xml:space="preserve">To design a 500kW hybrid-electric propulsion system achieving 75% energy efficiency and ≤40 dB noise output for UAM vehicles operating in Ankara's urban corridors.</w:t>
      </w:r>
    </w:p>
    <w:p>
      <w:pPr>
        <w:numPr>
          <w:ilvl w:val="0"/>
          <w:numId w:val="1001"/>
        </w:numPr>
        <w:pStyle w:val="Compact"/>
      </w:pPr>
      <w:r>
        <w:t xml:space="preserve">To establish Turkey's first certified UAM propulsion test facility at the Ankara Aerospace Cluster (AAC), reducing R&amp;D timelines by 40% compared to international benchmarks.</w:t>
      </w:r>
    </w:p>
    <w:p>
      <w:pPr>
        <w:numPr>
          <w:ilvl w:val="0"/>
          <w:numId w:val="1001"/>
        </w:numPr>
        <w:pStyle w:val="Compact"/>
      </w:pPr>
      <w:r>
        <w:t xml:space="preserve">To train 35+ domestic</w:t>
      </w:r>
      <w:r>
        <w:t xml:space="preserve"> </w:t>
      </w:r>
      <w:r>
        <w:rPr>
          <w:bCs/>
          <w:b/>
        </w:rPr>
        <w:t xml:space="preserve">Aerospace Engineer</w:t>
      </w:r>
      <w:r>
        <w:t xml:space="preserve"> </w:t>
      </w:r>
      <w:r>
        <w:t xml:space="preserve">specialists through industry-academia partnerships, addressing Türkiye's current deficit of 12,000 skilled personnel in advanced propulsion fields.</w:t>
      </w:r>
    </w:p>
    <w:p>
      <w:pPr>
        <w:numPr>
          <w:ilvl w:val="0"/>
          <w:numId w:val="1001"/>
        </w:numPr>
        <w:pStyle w:val="Compact"/>
      </w:pPr>
      <w:r>
        <w:t xml:space="preserve">To secure intellectual property for two key components (fuel cell integration module and adaptive thrust vectoring system) meeting EASA Part 21 certification standards.</w:t>
      </w:r>
    </w:p>
    <w:bookmarkEnd w:id="22"/>
    <w:bookmarkStart w:id="23" w:name="literature-review-and-innovation-gap"/>
    <w:p>
      <w:pPr>
        <w:pStyle w:val="Heading2"/>
      </w:pPr>
      <w:r>
        <w:t xml:space="preserve">4. Literature Review and Innovation Gap</w:t>
      </w:r>
    </w:p>
    <w:p>
      <w:pPr>
        <w:pStyle w:val="FirstParagraph"/>
      </w:pPr>
      <w:r>
        <w:t xml:space="preserve">While European initiatives like Airbus's CityAirbus demonstrate UAM feasibility, their propulsion systems remain incompatible with Ankara's specific operational constraints—particularly thermal management in the city's continental climate (summer highs of 40°C) and seismic resilience requirements. Existing studies by MIT (2023) and DLR (2022) focus on European urban environments without adapting to Middle Eastern conditions. This project bridges that gap through three innovations:</w:t>
      </w:r>
    </w:p>
    <w:p>
      <w:pPr>
        <w:numPr>
          <w:ilvl w:val="0"/>
          <w:numId w:val="1002"/>
        </w:numPr>
        <w:pStyle w:val="Compact"/>
      </w:pPr>
      <w:r>
        <w:t xml:space="preserve">A dual-mode propulsion architecture integrating hydrogen fuel cells with lithium-sulfur batteries, optimized for Ankara's 180-day annual high-temperature period</w:t>
      </w:r>
    </w:p>
    <w:p>
      <w:pPr>
        <w:numPr>
          <w:ilvl w:val="0"/>
          <w:numId w:val="1002"/>
        </w:numPr>
        <w:pStyle w:val="Compact"/>
      </w:pPr>
      <w:r>
        <w:t xml:space="preserve">AI-driven adaptive thermal management system using meteorological data from Ankara's newly established Atmospheric Research Center</w:t>
      </w:r>
    </w:p>
    <w:p>
      <w:pPr>
        <w:numPr>
          <w:ilvl w:val="0"/>
          <w:numId w:val="1002"/>
        </w:numPr>
        <w:pStyle w:val="Compact"/>
      </w:pPr>
      <w:r>
        <w:t xml:space="preserve">Seismic-tolerant component mounting solutions validated through ANKARA-TEST (Ankara Network for Kinetic Analysis of Resilient Aircraft Structures) simulations</w:t>
      </w:r>
    </w:p>
    <w:bookmarkEnd w:id="23"/>
    <w:bookmarkStart w:id="27" w:name="methodology-and-implementation-plan"/>
    <w:p>
      <w:pPr>
        <w:pStyle w:val="Heading2"/>
      </w:pPr>
      <w:r>
        <w:t xml:space="preserve">5. Methodology and Implementation Plan</w:t>
      </w:r>
    </w:p>
    <w:p>
      <w:pPr>
        <w:pStyle w:val="FirstParagraph"/>
      </w:pPr>
      <w:r>
        <w:t xml:space="preserve">The research will deploy a phased approach across Ankara's academic-industrial corridor:</w:t>
      </w:r>
    </w:p>
    <w:bookmarkStart w:id="24" w:name="X18f8364d2fa85adf3cc410fd217eab6af2efcb9"/>
    <w:p>
      <w:pPr>
        <w:pStyle w:val="Heading3"/>
      </w:pPr>
      <w:r>
        <w:t xml:space="preserve">Phase 1: System Design &amp; Simulation (Months 1-6)</w:t>
      </w:r>
    </w:p>
    <w:p>
      <w:pPr>
        <w:numPr>
          <w:ilvl w:val="0"/>
          <w:numId w:val="1003"/>
        </w:numPr>
        <w:pStyle w:val="Compact"/>
      </w:pPr>
      <w:r>
        <w:t xml:space="preserve">Collaborate with METU Aerospace Engineering Department and Turkish Aerospace Industries (TAI) to develop digital twins of Ankara's urban air corridors</w:t>
      </w:r>
    </w:p>
    <w:p>
      <w:pPr>
        <w:numPr>
          <w:ilvl w:val="0"/>
          <w:numId w:val="1003"/>
        </w:numPr>
        <w:pStyle w:val="Compact"/>
      </w:pPr>
      <w:r>
        <w:t xml:space="preserve">Utilize Ankara Supercomputing Center for high-fidelity CFD/thermal analysis under local climate parameters</w:t>
      </w:r>
    </w:p>
    <w:bookmarkEnd w:id="24"/>
    <w:bookmarkStart w:id="25" w:name="Xcb4d4129d081d66bcd8a8c250710d7dae6733e4"/>
    <w:p>
      <w:pPr>
        <w:pStyle w:val="Heading3"/>
      </w:pPr>
      <w:r>
        <w:t xml:space="preserve">Phase 2: Prototype Development &amp; Testing (Months 7-18)</w:t>
      </w:r>
    </w:p>
    <w:p>
      <w:pPr>
        <w:numPr>
          <w:ilvl w:val="0"/>
          <w:numId w:val="1004"/>
        </w:numPr>
        <w:pStyle w:val="Compact"/>
      </w:pPr>
      <w:r>
        <w:t xml:space="preserve">Establish propulsion test cell at AAC's Ankara Advanced Propulsion Laboratory (AAPL) with vibration isolation from TÜBİTAK</w:t>
      </w:r>
    </w:p>
    <w:p>
      <w:pPr>
        <w:numPr>
          <w:ilvl w:val="0"/>
          <w:numId w:val="1004"/>
        </w:numPr>
        <w:pStyle w:val="Compact"/>
      </w:pPr>
      <w:r>
        <w:t xml:space="preserve">Conduct noise-emission trials at Ankara Esenboğa Airport's designated UAM test zone</w:t>
      </w:r>
    </w:p>
    <w:p>
      <w:pPr>
        <w:numPr>
          <w:ilvl w:val="0"/>
          <w:numId w:val="1004"/>
        </w:numPr>
        <w:pStyle w:val="Compact"/>
      </w:pPr>
      <w:r>
        <w:t xml:space="preserve">Validate seismic performance using Ankara-based earthquake simulation rigs (NATO-standard)</w:t>
      </w:r>
    </w:p>
    <w:bookmarkEnd w:id="25"/>
    <w:bookmarkStart w:id="26" w:name="X73d5bfa2a9d291611eb60debc960293e7a1dfc9"/>
    <w:p>
      <w:pPr>
        <w:pStyle w:val="Heading3"/>
      </w:pPr>
      <w:r>
        <w:t xml:space="preserve">Phase 3: Certification &amp; Commercialization (Months 19-24)</w:t>
      </w:r>
    </w:p>
    <w:p>
      <w:pPr>
        <w:numPr>
          <w:ilvl w:val="0"/>
          <w:numId w:val="1005"/>
        </w:numPr>
        <w:pStyle w:val="Compact"/>
      </w:pPr>
      <w:r>
        <w:t xml:space="preserve">Work with Turkish Civil Aviation Authority (THY) to develop certification pathways for local standards</w:t>
      </w:r>
    </w:p>
    <w:p>
      <w:pPr>
        <w:numPr>
          <w:ilvl w:val="0"/>
          <w:numId w:val="1005"/>
        </w:numPr>
        <w:pStyle w:val="Compact"/>
      </w:pPr>
      <w:r>
        <w:t xml:space="preserve">Forge industry partnerships with Kocaeli-based engine manufacturer BAYKAR and Ankara-based software firm INGOS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immediate strategic value to Turkey's aerospace ecosystem in Ankara:</w:t>
      </w:r>
    </w:p>
    <w:p>
      <w:pPr>
        <w:numPr>
          <w:ilvl w:val="0"/>
          <w:numId w:val="1006"/>
        </w:numPr>
        <w:pStyle w:val="Compact"/>
      </w:pPr>
      <w:r>
        <w:rPr>
          <w:bCs/>
          <w:b/>
        </w:rPr>
        <w:t xml:space="preserve">Economic Impact:</w:t>
      </w:r>
      <w:r>
        <w:t xml:space="preserve"> </w:t>
      </w:r>
      <w:r>
        <w:t xml:space="preserve">Projected $147M annual revenue by 2030 through local propulsion manufacturing, creating 500+ high-skilled jobs across Ankara</w:t>
      </w:r>
    </w:p>
    <w:p>
      <w:pPr>
        <w:numPr>
          <w:ilvl w:val="0"/>
          <w:numId w:val="1006"/>
        </w:numPr>
        <w:pStyle w:val="Compact"/>
      </w:pPr>
      <w:r>
        <w:rPr>
          <w:bCs/>
          <w:b/>
        </w:rPr>
        <w:t xml:space="preserve">Technical Leadership:</w:t>
      </w:r>
      <w:r>
        <w:t xml:space="preserve"> </w:t>
      </w:r>
      <w:r>
        <w:t xml:space="preserve">Position Türkiye as the first Middle Eastern nation with certified UAM propulsion technology</w:t>
      </w:r>
    </w:p>
    <w:p>
      <w:pPr>
        <w:numPr>
          <w:ilvl w:val="0"/>
          <w:numId w:val="1006"/>
        </w:numPr>
        <w:pStyle w:val="Compact"/>
      </w:pPr>
      <w:r>
        <w:rPr>
          <w:bCs/>
          <w:b/>
        </w:rPr>
        <w:t xml:space="preserve">Educational Transformation:</w:t>
      </w:r>
      <w:r>
        <w:t xml:space="preserve"> </w:t>
      </w:r>
      <w:r>
        <w:t xml:space="preserve">Launch Ankara's first specialized MSc program in Urban Air Mobility Propulsion at METU, attracting international students</w:t>
      </w:r>
    </w:p>
    <w:p>
      <w:pPr>
        <w:numPr>
          <w:ilvl w:val="0"/>
          <w:numId w:val="1006"/>
        </w:numPr>
        <w:pStyle w:val="Compact"/>
      </w:pPr>
      <w:r>
        <w:rPr>
          <w:bCs/>
          <w:b/>
        </w:rPr>
        <w:t xml:space="preserve">Sustainability Metrics:</w:t>
      </w:r>
      <w:r>
        <w:t xml:space="preserve"> </w:t>
      </w:r>
      <w:r>
        <w:t xml:space="preserve">70% reduction in CO2 emissions per flight compared to conventional helicopters, aligning with Turkey's carbon neutrality goals</w:t>
      </w:r>
    </w:p>
    <w:p>
      <w:pPr>
        <w:pStyle w:val="FirstParagraph"/>
      </w:pPr>
      <w:r>
        <w:t xml:space="preserve">The success of this</w:t>
      </w:r>
      <w:r>
        <w:t xml:space="preserve"> </w:t>
      </w:r>
      <w:r>
        <w:rPr>
          <w:bCs/>
          <w:b/>
        </w:rPr>
        <w:t xml:space="preserve">Research Proposal</w:t>
      </w:r>
      <w:r>
        <w:t xml:space="preserve"> </w:t>
      </w:r>
      <w:r>
        <w:t xml:space="preserve">will cement Ankara's status as the Middle East's aerospace innovation hub. For the</w:t>
      </w:r>
      <w:r>
        <w:t xml:space="preserve"> </w:t>
      </w:r>
      <w:r>
        <w:rPr>
          <w:bCs/>
          <w:b/>
        </w:rPr>
        <w:t xml:space="preserve">Aerospace Engineer</w:t>
      </w:r>
      <w:r>
        <w:t xml:space="preserve">, this represents a career-defining opportunity to pioneer technologies that directly address urban mobility challenges while contributing to national strategic objectives in Turkey Ankara.</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System Design &amp; Simulation</w:t>
      </w:r>
    </w:p>
    <w:p>
      <w:pPr>
        <w:pStyle w:val="BodyText"/>
      </w:pPr>
      <w:r>
        <w:t xml:space="preserve">6 months</w:t>
      </w:r>
    </w:p>
    <w:p>
      <w:pPr>
        <w:pStyle w:val="BodyText"/>
      </w:pPr>
      <w:r>
        <w:t xml:space="preserve">Digital twin models; Thermal resilience report</w:t>
      </w:r>
    </w:p>
    <w:p>
      <w:pPr>
        <w:pStyle w:val="BodyText"/>
      </w:pPr>
      <w:r>
        <w:t xml:space="preserve">$285,000</w:t>
      </w:r>
    </w:p>
    <w:p>
      <w:pPr>
        <w:pStyle w:val="BodyText"/>
      </w:pPr>
      <w:r>
        <w:t xml:space="preserve">Prototype Development</w:t>
      </w:r>
    </w:p>
    <w:p>
      <w:pPr>
        <w:pStyle w:val="BodyText"/>
      </w:pPr>
      <w:r>
        <w:t xml:space="preserve">12 months</w:t>
      </w:r>
    </w:p>
    <w:p>
      <w:pPr>
        <w:pStyle w:val="BodyText"/>
      </w:pPr>
      <w:r>
        <w:t xml:space="preserve">Pilot propulsion module; Noise certification dossier</w:t>
      </w:r>
    </w:p>
    <w:p>
      <w:pPr>
        <w:pStyle w:val="BodyText"/>
      </w:pPr>
      <w:r>
        <w:rPr>
          <w:bCs/>
          <w:b/>
        </w:rPr>
        <w:t xml:space="preserve">$1.4M</w:t>
      </w:r>
    </w:p>
    <w:p>
      <w:pPr>
        <w:pStyle w:val="BodyText"/>
      </w:pPr>
      <w:r>
        <w:t xml:space="preserve">Note: Budget allocated across 3 Ankara-based institutions (METU, TÜBİTAK, AAC)</w:t>
      </w:r>
    </w:p>
    <w:bookmarkEnd w:id="29"/>
    <w:bookmarkStart w:id="30" w:name="conclusion"/>
    <w:p>
      <w:pPr>
        <w:pStyle w:val="Heading2"/>
      </w:pPr>
      <w:r>
        <w:t xml:space="preserve">8. Conclusion</w:t>
      </w:r>
    </w:p>
    <w:p>
      <w:pPr>
        <w:pStyle w:val="FirstParagraph"/>
      </w:pPr>
      <w:r>
        <w:t xml:space="preserve">This research initiative directly responds to Türkiye's urgent need for indigenous aerospace technological sovereignty in a strategically critical domain. By anchoring the project within Ankara—a city uniquely positioned with academic infrastructure (METU), industrial capacity (TAI), and government support through the Ministry of Industry and Technology—the proposal ensures maximum local impact. The development of hybrid propulsion systems will not merely advance engineering capabilities; it will catalyze Ankara's emergence as a global UAM technology nexus while creating high-value careers for Turkish</w:t>
      </w:r>
      <w:r>
        <w:t xml:space="preserve"> </w:t>
      </w:r>
      <w:r>
        <w:rPr>
          <w:bCs/>
          <w:b/>
        </w:rPr>
        <w:t xml:space="preserve">Aerospace Engineer</w:t>
      </w:r>
      <w:r>
        <w:t xml:space="preserve">s. As Turkey accelerates toward becoming a top-10 aerospace nation by 2035, this</w:t>
      </w:r>
      <w:r>
        <w:t xml:space="preserve"> </w:t>
      </w:r>
      <w:r>
        <w:rPr>
          <w:bCs/>
          <w:b/>
        </w:rPr>
        <w:t xml:space="preserve">Research Proposal</w:t>
      </w:r>
      <w:r>
        <w:t xml:space="preserve"> </w:t>
      </w:r>
      <w:r>
        <w:t xml:space="preserve">provides the technical and strategic roadmap to establish Ankara as its innovation capital. The project's success will redefine Turkey's role in global aerospace supply chains while delivering tangible solutions for sustainable urban mobility in</w:t>
      </w:r>
      <w:r>
        <w:t xml:space="preserve"> </w:t>
      </w:r>
      <w:r>
        <w:rPr>
          <w:bCs/>
          <w:b/>
        </w:rPr>
        <w:t xml:space="preserve">Turkey Ankara</w:t>
      </w:r>
      <w:r>
        <w:t xml:space="preserve">.</w:t>
      </w:r>
    </w:p>
    <w:p>
      <w:pPr>
        <w:pStyle w:val="BodyText"/>
      </w:pPr>
      <w:r>
        <w:rPr>
          <w:iCs/>
          <w:i/>
        </w:rPr>
        <w:t xml:space="preserve">This proposal aligns with Türkiye's 2023-2035 Aerospace Strategy, NATO DIANA priorities, and UN Sustainable Development Goals 9 (Industry Innovation) and 11 (Sustainable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Turkey Ankara</dc:title>
  <dc:creator/>
  <dc:language>en</dc:language>
  <cp:keywords/>
  <dcterms:created xsi:type="dcterms:W3CDTF">2026-04-29T07:19:37Z</dcterms:created>
  <dcterms:modified xsi:type="dcterms:W3CDTF">2026-04-29T07:19:37Z</dcterms:modified>
</cp:coreProperties>
</file>

<file path=docProps/custom.xml><?xml version="1.0" encoding="utf-8"?>
<Properties xmlns="http://schemas.openxmlformats.org/officeDocument/2006/custom-properties" xmlns:vt="http://schemas.openxmlformats.org/officeDocument/2006/docPropsVTypes"/>
</file>