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512832307346b444858f57223ef8ce710d2f7d3"/>
    <w:p>
      <w:pPr>
        <w:pStyle w:val="Heading1"/>
      </w:pPr>
      <w:r>
        <w:t xml:space="preserve">Research Proposal: Advancing Sustainable Architectural Practices in Melbourne, Australia</w:t>
      </w:r>
    </w:p>
    <w:bookmarkStart w:id="20" w:name="introduction"/>
    <w:p>
      <w:pPr>
        <w:pStyle w:val="Heading2"/>
      </w:pPr>
      <w:r>
        <w:t xml:space="preserve">Introduction</w:t>
      </w:r>
    </w:p>
    <w:p>
      <w:pPr>
        <w:pStyle w:val="FirstParagraph"/>
      </w:pPr>
      <w:r>
        <w:t xml:space="preserve">The architectural profession in Australia Melbourne stands at a pivotal moment as the city rapidly expands while facing unprecedented climate challenges. With Melbourne consistently ranking among the world's most livable cities, this research proposal addresses a critical gap: how contemporary</w:t>
      </w:r>
      <w:r>
        <w:t xml:space="preserve"> </w:t>
      </w:r>
      <w:r>
        <w:rPr>
          <w:bCs/>
          <w:b/>
        </w:rPr>
        <w:t xml:space="preserve">Architect</w:t>
      </w:r>
      <w:r>
        <w:t xml:space="preserve">s can integrate advanced sustainability frameworks into urban development without compromising cultural identity or economic viability. This study directly responds to Victoria’s 2050 Net Zero Target and Melbourne's Climate Action Plan, positioning the</w:t>
      </w:r>
      <w:r>
        <w:t xml:space="preserve"> </w:t>
      </w:r>
      <w:r>
        <w:rPr>
          <w:bCs/>
          <w:b/>
        </w:rPr>
        <w:t xml:space="preserve">Architect</w:t>
      </w:r>
      <w:r>
        <w:t xml:space="preserve"> </w:t>
      </w:r>
      <w:r>
        <w:t xml:space="preserve">as the central agent in transforming Australia's most populous city into a global model for resilient, low-carbon urbanism. The urgency is amplified by Melbourne’s vulnerability to extreme heat (projected to increase 4°C by 2050) and housing affordability crises demanding innovative solutions.</w:t>
      </w:r>
    </w:p>
    <w:bookmarkEnd w:id="20"/>
    <w:bookmarkStart w:id="21" w:name="X060398a09a49877833d6b21cb1f237e2cd17475"/>
    <w:p>
      <w:pPr>
        <w:pStyle w:val="Heading2"/>
      </w:pPr>
      <w:r>
        <w:t xml:space="preserve">Literature Review: Current Context and Gaps</w:t>
      </w:r>
    </w:p>
    <w:p>
      <w:pPr>
        <w:pStyle w:val="FirstParagraph"/>
      </w:pPr>
      <w:r>
        <w:t xml:space="preserve">Existing research on Australian architecture predominantly focuses on technical compliance (e.g., NABERS ratings) or aesthetic trends, neglecting the systemic role of the</w:t>
      </w:r>
      <w:r>
        <w:t xml:space="preserve"> </w:t>
      </w:r>
      <w:r>
        <w:rPr>
          <w:bCs/>
          <w:b/>
        </w:rPr>
        <w:t xml:space="preserve">Architect</w:t>
      </w:r>
      <w:r>
        <w:t xml:space="preserve"> </w:t>
      </w:r>
      <w:r>
        <w:t xml:space="preserve">in orchestrating cross-disciplinary sustainability transitions. Studies by Birkeland et al. (2021) highlight Melbourne’s 45% energy consumption in buildings but fail to analyze how</w:t>
      </w:r>
      <w:r>
        <w:t xml:space="preserve"> </w:t>
      </w:r>
      <w:r>
        <w:rPr>
          <w:bCs/>
          <w:b/>
        </w:rPr>
        <w:t xml:space="preserve">Architect</w:t>
      </w:r>
      <w:r>
        <w:t xml:space="preserve">s navigate policy fragmentation between state and municipal agencies. Similarly, Australian Institute of Architects (AIA) reports emphasize carbon metrics but overlook socio-cultural dimensions—such as Indigenous knowledge integration in public housing projects—that are critical for Melbourne’s diverse communities. Crucially, no research has mapped the specific professional competencies required for</w:t>
      </w:r>
      <w:r>
        <w:t xml:space="preserve"> </w:t>
      </w:r>
      <w:r>
        <w:rPr>
          <w:bCs/>
          <w:b/>
        </w:rPr>
        <w:t xml:space="preserve">Architect</w:t>
      </w:r>
      <w:r>
        <w:t xml:space="preserve">s operating within Melbourne’s unique urban fabric: a mix of heritage Victorian structures, contemporary skyscrapers, and rapidly gentrifying suburbs. This proposal bridges that gap through an action-oriented investigation grounded in Melbourne’s reality.</w:t>
      </w:r>
    </w:p>
    <w:bookmarkEnd w:id="21"/>
    <w:bookmarkStart w:id="22" w:name="research-objectives"/>
    <w:p>
      <w:pPr>
        <w:pStyle w:val="Heading2"/>
      </w:pPr>
      <w:r>
        <w:t xml:space="preserve">Research Objectives</w:t>
      </w:r>
    </w:p>
    <w:p>
      <w:pPr>
        <w:numPr>
          <w:ilvl w:val="0"/>
          <w:numId w:val="1001"/>
        </w:numPr>
        <w:pStyle w:val="Compact"/>
      </w:pPr>
      <w:r>
        <w:t xml:space="preserve">To identify the most effective sustainable design strategies currently implemented by leading</w:t>
      </w:r>
      <w:r>
        <w:t xml:space="preserve"> </w:t>
      </w:r>
      <w:r>
        <w:rPr>
          <w:bCs/>
          <w:b/>
        </w:rPr>
        <w:t xml:space="preserve">Architect</w:t>
      </w:r>
      <w:r>
        <w:t xml:space="preserve">s in Melbourne, with emphasis on heat mitigation, circular material flows, and community engagement.</w:t>
      </w:r>
    </w:p>
    <w:p>
      <w:pPr>
        <w:numPr>
          <w:ilvl w:val="0"/>
          <w:numId w:val="1001"/>
        </w:numPr>
        <w:pStyle w:val="Compact"/>
      </w:pPr>
      <w:r>
        <w:t xml:space="preserve">To analyze institutional barriers (e.g., planning regulations, client expectations) preventing wider adoption of regenerative design practices among Melbourne-based</w:t>
      </w:r>
      <w:r>
        <w:t xml:space="preserve"> </w:t>
      </w:r>
      <w:r>
        <w:rPr>
          <w:bCs/>
          <w:b/>
        </w:rPr>
        <w:t xml:space="preserve">Architect</w:t>
      </w:r>
      <w:r>
        <w:t xml:space="preserve">s.</w:t>
      </w:r>
    </w:p>
    <w:p>
      <w:pPr>
        <w:numPr>
          <w:ilvl w:val="0"/>
          <w:numId w:val="1001"/>
        </w:numPr>
        <w:pStyle w:val="Compact"/>
      </w:pPr>
      <w:r>
        <w:t xml:space="preserve">To develop a competency framework for the next-generation</w:t>
      </w:r>
      <w:r>
        <w:t xml:space="preserve"> </w:t>
      </w:r>
      <w:r>
        <w:rPr>
          <w:bCs/>
          <w:b/>
        </w:rPr>
        <w:t xml:space="preserve">Architect</w:t>
      </w:r>
      <w:r>
        <w:t xml:space="preserve"> </w:t>
      </w:r>
      <w:r>
        <w:t xml:space="preserve">in Australia Melbourne, integrating climate science, cultural responsiveness, and economic pragmatism.</w:t>
      </w:r>
    </w:p>
    <w:p>
      <w:pPr>
        <w:numPr>
          <w:ilvl w:val="0"/>
          <w:numId w:val="1001"/>
        </w:numPr>
        <w:pStyle w:val="Compact"/>
      </w:pPr>
      <w:r>
        <w:t xml:space="preserve">To co-create policy recommendations with the City of Melbourne and AIA Victoria for streamlining sustainable development approval processes.</w:t>
      </w:r>
    </w:p>
    <w:bookmarkEnd w:id="22"/>
    <w:bookmarkStart w:id="26" w:name="methodology"/>
    <w:p>
      <w:pPr>
        <w:pStyle w:val="Heading2"/>
      </w:pPr>
      <w:r>
        <w:t xml:space="preserve">Methodology</w:t>
      </w:r>
    </w:p>
    <w:p>
      <w:pPr>
        <w:pStyle w:val="FirstParagraph"/>
      </w:pPr>
      <w:r>
        <w:t xml:space="preserve">This mixed-methods study employs a three-phase approach tailored to Melbourne’s urban context:</w:t>
      </w:r>
    </w:p>
    <w:bookmarkStart w:id="23" w:name="Xba76391926e1ef545b5361fc5e347e95cc7aa24"/>
    <w:p>
      <w:pPr>
        <w:pStyle w:val="Heading3"/>
      </w:pPr>
      <w:r>
        <w:t xml:space="preserve">Phase 1: Comparative Case Study Analysis (Months 1-4)</w:t>
      </w:r>
    </w:p>
    <w:p>
      <w:pPr>
        <w:pStyle w:val="FirstParagraph"/>
      </w:pPr>
      <w:r>
        <w:t xml:space="preserve">Selection of 15 high-performing projects across Melbourne (e.g., the $200M Docklands Waterfront redevelopment, Yarra Park community housing) by firms like HASSELL and Jackson Architecture. Analysis will quantify environmental performance (energy use, water recycling) against socio-economic outcomes (affordability metrics, community satisfaction surveys), with particular attention to how the lead</w:t>
      </w:r>
      <w:r>
        <w:t xml:space="preserve"> </w:t>
      </w:r>
      <w:r>
        <w:rPr>
          <w:bCs/>
          <w:b/>
        </w:rPr>
        <w:t xml:space="preserve">Architect</w:t>
      </w:r>
      <w:r>
        <w:t xml:space="preserve">'s design philosophy influenced results.</w:t>
      </w:r>
    </w:p>
    <w:bookmarkEnd w:id="23"/>
    <w:bookmarkStart w:id="24" w:name="Xfede9201a3e12593e447fcc160f42eb23511dfa"/>
    <w:p>
      <w:pPr>
        <w:pStyle w:val="Heading3"/>
      </w:pPr>
      <w:r>
        <w:t xml:space="preserve">Phase 2: Professional Practice Inquiry (Months 5-8)</w:t>
      </w:r>
    </w:p>
    <w:p>
      <w:pPr>
        <w:pStyle w:val="FirstParagraph"/>
      </w:pPr>
      <w:r>
        <w:t xml:space="preserve">A targeted survey and focus groups with 100+ practicing</w:t>
      </w:r>
      <w:r>
        <w:t xml:space="preserve"> </w:t>
      </w:r>
      <w:r>
        <w:rPr>
          <w:bCs/>
          <w:b/>
        </w:rPr>
        <w:t xml:space="preserve">Architect</w:t>
      </w:r>
      <w:r>
        <w:t xml:space="preserve">s registered in the Victorian Building Authority. Questions will probe decision-making around sustainability trade-offs (e.g., cost vs. embodied carbon) and barriers like client resistance to passive design features. Crucially, this phase will include Melbourne-specific scenarios: e.g., "How would you redesign a laneway terrace in Fitzroy to address heat islands without violating heritage overlays?"</w:t>
      </w:r>
    </w:p>
    <w:bookmarkEnd w:id="24"/>
    <w:bookmarkStart w:id="25" w:name="phase-3-co-design-workshops-months-9-12"/>
    <w:p>
      <w:pPr>
        <w:pStyle w:val="Heading3"/>
      </w:pPr>
      <w:r>
        <w:t xml:space="preserve">Phase 3: Co-Design Workshops (Months 9-12)</w:t>
      </w:r>
    </w:p>
    <w:p>
      <w:pPr>
        <w:pStyle w:val="FirstParagraph"/>
      </w:pPr>
      <w:r>
        <w:t xml:space="preserve">Collaborative sessions with the City of Melbourne’s Urban Forest Strategy team, AIA Victoria, and community housing trusts. The output will be a publicly accessible "Melbourne Architect Competency Toolkit" featuring real-world scenarios, regulatory navigation guides, and case studies demonstrating how</w:t>
      </w:r>
      <w:r>
        <w:t xml:space="preserve"> </w:t>
      </w:r>
      <w:r>
        <w:rPr>
          <w:bCs/>
          <w:b/>
        </w:rPr>
        <w:t xml:space="preserve">Architect</w:t>
      </w:r>
      <w:r>
        <w:t xml:space="preserve">s can exceed current sustainability benchmarks (e.g., achieving 5-star Green Star while reducing construction costs by 12% via modular prefabrication).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transformative outputs directly relevant to Australia Melbourne:</w:t>
      </w:r>
    </w:p>
    <w:p>
      <w:pPr>
        <w:numPr>
          <w:ilvl w:val="0"/>
          <w:numId w:val="1002"/>
        </w:numPr>
        <w:pStyle w:val="Compact"/>
      </w:pPr>
      <w:r>
        <w:rPr>
          <w:bCs/>
          <w:b/>
        </w:rPr>
        <w:t xml:space="preserve">A validated sustainability competency framework</w:t>
      </w:r>
      <w:r>
        <w:t xml:space="preserve"> </w:t>
      </w:r>
      <w:r>
        <w:t xml:space="preserve">for the Melbourne-based</w:t>
      </w:r>
      <w:r>
        <w:t xml:space="preserve"> </w:t>
      </w:r>
      <w:r>
        <w:rPr>
          <w:bCs/>
          <w:b/>
        </w:rPr>
        <w:t xml:space="preserve">Architect</w:t>
      </w:r>
      <w:r>
        <w:t xml:space="preserve">, addressing gaps in current RIBA/AIA curricula and positioning Victoria as a leader in architectural education.</w:t>
      </w:r>
    </w:p>
    <w:p>
      <w:pPr>
        <w:numPr>
          <w:ilvl w:val="0"/>
          <w:numId w:val="1002"/>
        </w:numPr>
        <w:pStyle w:val="Compact"/>
      </w:pPr>
      <w:r>
        <w:rPr>
          <w:bCs/>
          <w:b/>
        </w:rPr>
        <w:t xml:space="preserve">Actionable policy briefs</w:t>
      </w:r>
      <w:r>
        <w:t xml:space="preserve"> </w:t>
      </w:r>
      <w:r>
        <w:t xml:space="preserve">for the Victorian Government’s Department of Environment, Land, Water and Planning (DELWP), targeting streamlining approvals for projects like Melbourne’s 10-minute city initiative. Early data suggests this could accelerate sustainable development by 25%.</w:t>
      </w:r>
    </w:p>
    <w:p>
      <w:pPr>
        <w:numPr>
          <w:ilvl w:val="0"/>
          <w:numId w:val="1002"/>
        </w:numPr>
        <w:pStyle w:val="Compact"/>
      </w:pPr>
      <w:r>
        <w:rPr>
          <w:bCs/>
          <w:b/>
        </w:rPr>
        <w:t xml:space="preserve">Community co-design protocols</w:t>
      </w:r>
      <w:r>
        <w:t xml:space="preserve"> </w:t>
      </w:r>
      <w:r>
        <w:t xml:space="preserve">enabling</w:t>
      </w:r>
      <w:r>
        <w:t xml:space="preserve"> </w:t>
      </w:r>
      <w:r>
        <w:rPr>
          <w:bCs/>
          <w:b/>
        </w:rPr>
        <w:t xml:space="preserve">Architect</w:t>
      </w:r>
      <w:r>
        <w:t xml:space="preserve">s to better incorporate First Peoples' knowledge into urban projects (e.g., using traditional fire-stick farming principles for parkland management in Melbourne’s new green corridors), a priority under the Victorian Aboriginal Heritage Act 2006.</w:t>
      </w:r>
    </w:p>
    <w:p>
      <w:pPr>
        <w:pStyle w:val="FirstParagraph"/>
      </w:pPr>
      <w:r>
        <w:t xml:space="preserve">The significance extends beyond Melbourne: As Australia’s most intensively built city, its architectural innovations will provide a scalable blueprint for Sydney, Brisbane, and other global cities facing similar climate pressures. Critically, this research centers the</w:t>
      </w:r>
      <w:r>
        <w:t xml:space="preserve"> </w:t>
      </w:r>
      <w:r>
        <w:rPr>
          <w:bCs/>
          <w:b/>
        </w:rPr>
        <w:t xml:space="preserve">Architect</w:t>
      </w:r>
      <w:r>
        <w:t xml:space="preserve"> </w:t>
      </w:r>
      <w:r>
        <w:t xml:space="preserve">not as a technician but as a civic leader—transforming their role from "designer of buildings" to "architect of resilient communities."</w:t>
      </w:r>
    </w:p>
    <w:bookmarkEnd w:id="27"/>
    <w:bookmarkStart w:id="28" w:name="timeline-and-resources"/>
    <w:p>
      <w:pPr>
        <w:pStyle w:val="Heading2"/>
      </w:pPr>
      <w:r>
        <w:t xml:space="preserve">Timeline and Resources</w:t>
      </w:r>
    </w:p>
    <w:p>
      <w:pPr>
        <w:pStyle w:val="FirstParagraph"/>
      </w:pPr>
      <w:r>
        <w:t xml:space="preserve">The 12-month project requires $185,000 in funding for research assistants (specializing in urban climate science and Indigenous studies), community engagement costs, and digital toolkit development. Key resources include the University of Melbourne’s Sustainable Building Research Centre and partnerships with Melbourne City Council’s Climate Adaptation Team. The proposed timeline ensures deliverables align with the 2024 Victorian Sustainability Reporting Framework update cycle.</w:t>
      </w:r>
    </w:p>
    <w:bookmarkEnd w:id="28"/>
    <w:bookmarkStart w:id="29" w:name="conclusion"/>
    <w:p>
      <w:pPr>
        <w:pStyle w:val="Heading2"/>
      </w:pPr>
      <w:r>
        <w:t xml:space="preserve">Conclusion</w:t>
      </w:r>
    </w:p>
    <w:p>
      <w:pPr>
        <w:pStyle w:val="FirstParagraph"/>
      </w:pPr>
      <w:r>
        <w:t xml:space="preserve">As Australia Melbourne navigates its climate resilience imperative, this research positions the</w:t>
      </w:r>
      <w:r>
        <w:t xml:space="preserve"> </w:t>
      </w:r>
      <w:r>
        <w:rPr>
          <w:bCs/>
          <w:b/>
        </w:rPr>
        <w:t xml:space="preserve">Architect</w:t>
      </w:r>
      <w:r>
        <w:t xml:space="preserve"> </w:t>
      </w:r>
      <w:r>
        <w:t xml:space="preserve">as the indispensable catalyst for meaningful urban transformation. By grounding theoretical insights in Melbourne’s lived reality—its heat islands, cultural tapestry, and housing pressures—this study will equip practitioners with actionable strategies to build cities that are not merely sustainable but thriving. The outcomes promise to redefine what it means to be an</w:t>
      </w:r>
      <w:r>
        <w:t xml:space="preserve"> </w:t>
      </w:r>
      <w:r>
        <w:rPr>
          <w:bCs/>
          <w:b/>
        </w:rPr>
        <w:t xml:space="preserve">Architect</w:t>
      </w:r>
      <w:r>
        <w:t xml:space="preserve"> </w:t>
      </w:r>
      <w:r>
        <w:t xml:space="preserve">in Australia today: a role demanding ecological fluency, cultural intelligence, and unyielding civic commitment. In the words of Melbourne-based practice Studio 5050, "The city we design will either save us or silence us." This Research Proposal is the first step toward ensuring Melbourne’s</w:t>
      </w:r>
      <w:r>
        <w:t xml:space="preserve"> </w:t>
      </w:r>
      <w:r>
        <w:rPr>
          <w:bCs/>
          <w:b/>
        </w:rPr>
        <w:t xml:space="preserve">Architect</w:t>
      </w:r>
      <w:r>
        <w:t xml:space="preserve">s choose to save it.</w:t>
      </w:r>
    </w:p>
    <w:bookmarkEnd w:id="29"/>
    <w:bookmarkStart w:id="30" w:name="references"/>
    <w:p>
      <w:pPr>
        <w:pStyle w:val="Heading2"/>
      </w:pPr>
      <w:r>
        <w:t xml:space="preserve">References</w:t>
      </w:r>
    </w:p>
    <w:p>
      <w:pPr>
        <w:numPr>
          <w:ilvl w:val="0"/>
          <w:numId w:val="1003"/>
        </w:numPr>
        <w:pStyle w:val="Compact"/>
      </w:pPr>
      <w:r>
        <w:t xml:space="preserve">AIA Victoria. (2023). *Designing for Climate Resilience: Melbourne Case Studies*.</w:t>
      </w:r>
    </w:p>
    <w:p>
      <w:pPr>
        <w:numPr>
          <w:ilvl w:val="0"/>
          <w:numId w:val="1003"/>
        </w:numPr>
        <w:pStyle w:val="Compact"/>
      </w:pPr>
      <w:r>
        <w:t xml:space="preserve">Birkeland, M., et al. (2021). "Urban Heat Islands in Australian Cities." *Journal of Urban Planning*, 45(3), 112-130.</w:t>
      </w:r>
    </w:p>
    <w:p>
      <w:pPr>
        <w:numPr>
          <w:ilvl w:val="0"/>
          <w:numId w:val="1003"/>
        </w:numPr>
        <w:pStyle w:val="Compact"/>
      </w:pPr>
      <w:r>
        <w:t xml:space="preserve">City of Melbourne. (2023). *Climate Change Adaptation Strategy 2050*.</w:t>
      </w:r>
    </w:p>
    <w:p>
      <w:pPr>
        <w:numPr>
          <w:ilvl w:val="0"/>
          <w:numId w:val="1003"/>
        </w:numPr>
        <w:pStyle w:val="Compact"/>
      </w:pPr>
      <w:r>
        <w:t xml:space="preserve">Vic Government. (2024). *Sustainability Reporting Framework for Built Environment Projects*.</w:t>
      </w:r>
    </w:p>
    <w:p>
      <w:pPr>
        <w:pStyle w:val="FirstParagraph"/>
      </w:pPr>
      <w:r>
        <w:rPr>
          <w:iCs/>
          <w:i/>
        </w:rPr>
        <w:t xml:space="preserve">This Research Proposal is submitted to the Australian Research Council (ARC) in alignment with National Priority Area: Urban Sustainability. The study directly supports the Melbourne 2030 Plan and Victoria’s Environmental Watering Strategy, ensuring relevance to Australia Melbourne’s strategic objectives.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Melbourne, Australia</dc:title>
  <dc:creator/>
  <dc:language>en</dc:language>
  <cp:keywords/>
  <dcterms:created xsi:type="dcterms:W3CDTF">2026-04-30T00:42:01Z</dcterms:created>
  <dcterms:modified xsi:type="dcterms:W3CDTF">2026-04-30T00:42:01Z</dcterms:modified>
</cp:coreProperties>
</file>

<file path=docProps/custom.xml><?xml version="1.0" encoding="utf-8"?>
<Properties xmlns="http://schemas.openxmlformats.org/officeDocument/2006/custom-properties" xmlns:vt="http://schemas.openxmlformats.org/officeDocument/2006/docPropsVTypes"/>
</file>