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Architectural</w:t>
      </w:r>
      <w:r>
        <w:t xml:space="preserve"> </w:t>
      </w:r>
      <w:r>
        <w:t xml:space="preserve">Practice</w:t>
      </w:r>
      <w:r>
        <w:t xml:space="preserve"> </w:t>
      </w:r>
      <w:r>
        <w:t xml:space="preserve">in</w:t>
      </w:r>
      <w:r>
        <w:t xml:space="preserve"> </w:t>
      </w:r>
      <w:r>
        <w:t xml:space="preserve">Berlin,</w:t>
      </w:r>
      <w:r>
        <w:t xml:space="preserve"> </w:t>
      </w:r>
      <w:r>
        <w:t xml:space="preserve">Germany</w:t>
      </w:r>
    </w:p>
    <w:bookmarkStart w:id="28" w:name="Xd2cac6325ffa1673ea966bf059730121bbc8e5b"/>
    <w:p>
      <w:pPr>
        <w:pStyle w:val="Heading1"/>
      </w:pPr>
      <w:r>
        <w:t xml:space="preserve">Research Proposal: Advancing Sustainable Architectural Practice in Berlin, Germany</w:t>
      </w:r>
    </w:p>
    <w:bookmarkStart w:id="20" w:name="introduction-and-background"/>
    <w:p>
      <w:pPr>
        <w:pStyle w:val="Heading2"/>
      </w:pPr>
      <w:r>
        <w:t xml:space="preserve">1. Introduction and Background</w:t>
      </w:r>
    </w:p>
    <w:p>
      <w:pPr>
        <w:pStyle w:val="FirstParagraph"/>
      </w:pPr>
      <w:r>
        <w:t xml:space="preserve">Berlin, as the dynamic capital of Germany, stands at a pivotal moment where architectural innovation intersects with urgent urban challenges. The city's unique historical layers—from Prussian grandeur to post-war reconstruction and contemporary experimentation—demand a new paradigm for the</w:t>
      </w:r>
      <w:r>
        <w:t xml:space="preserve"> </w:t>
      </w:r>
      <w:r>
        <w:rPr>
          <w:iCs/>
          <w:i/>
        </w:rPr>
        <w:t xml:space="preserve">Architect</w:t>
      </w:r>
      <w:r>
        <w:t xml:space="preserve"> </w:t>
      </w:r>
      <w:r>
        <w:t xml:space="preserve">in Germany. This Research Proposal addresses the critical need to redefine professional practice within Berlin's rapidly evolving urban landscape, where sustainable development, social inclusivity, and climate resilience are no longer optional but existential imperatives. As Germany's most populous city and a global hub for cultural innovation, Berlin presents an unparalleled laboratory for architectural research that directly impacts Europe's urban future.</w:t>
      </w:r>
    </w:p>
    <w:bookmarkEnd w:id="20"/>
    <w:bookmarkStart w:id="21" w:name="problem-statement"/>
    <w:p>
      <w:pPr>
        <w:pStyle w:val="Heading2"/>
      </w:pPr>
      <w:r>
        <w:t xml:space="preserve">2. Problem Statement</w:t>
      </w:r>
    </w:p>
    <w:p>
      <w:pPr>
        <w:pStyle w:val="FirstParagraph"/>
      </w:pPr>
      <w:r>
        <w:t xml:space="preserve">Despite Berlin's rich architectural heritage and progressive policies, a significant gap persists between theoretical sustainability frameworks and on-the-ground implementation by practicing Architects. Current projects often prioritize aesthetic novelty over holistic environmental integration, leading to fragmented urban development that fails to address systemic issues like energy poverty, social segregation, and climate adaptation. German architectural education still emphasizes historical preservation over future-oriented systems thinking, leaving emerging</w:t>
      </w:r>
      <w:r>
        <w:t xml:space="preserve"> </w:t>
      </w:r>
      <w:r>
        <w:rPr>
          <w:iCs/>
          <w:i/>
        </w:rPr>
        <w:t xml:space="preserve">Architect</w:t>
      </w:r>
      <w:r>
        <w:t xml:space="preserve"> </w:t>
      </w:r>
      <w:r>
        <w:t xml:space="preserve">professionals ill-equipped for Berlin's complex demands. This disconnect threatens Germany's national climate goals (65% renewable energy by 2030) and undermines Berlin's status as a model sustainable city.</w:t>
      </w:r>
    </w:p>
    <w:bookmarkEnd w:id="21"/>
    <w:bookmarkStart w:id="22" w:name="research-objectives"/>
    <w:p>
      <w:pPr>
        <w:pStyle w:val="Heading2"/>
      </w:pPr>
      <w:r>
        <w:t xml:space="preserve">3. Research Objectives</w:t>
      </w:r>
    </w:p>
    <w:p>
      <w:pPr>
        <w:pStyle w:val="FirstParagraph"/>
      </w:pPr>
      <w:r>
        <w:t xml:space="preserve">This study aims to develop a comprehensive framework for sustainable architectural practice in Berlin through four key objectives:</w:t>
      </w:r>
    </w:p>
    <w:p>
      <w:pPr>
        <w:numPr>
          <w:ilvl w:val="0"/>
          <w:numId w:val="1001"/>
        </w:numPr>
        <w:pStyle w:val="Compact"/>
      </w:pPr>
      <w:r>
        <w:rPr>
          <w:bCs/>
          <w:b/>
        </w:rPr>
        <w:t xml:space="preserve">Evaluate current practices</w:t>
      </w:r>
      <w:r>
        <w:t xml:space="preserve">: Analyze 15 recent residential and public projects across Berlin (e.g., Neukölln urban renewal, Friedrichshain energy-positive districts) to identify strengths/weaknesses in how Architects integrate climate resilience.</w:t>
      </w:r>
    </w:p>
    <w:p>
      <w:pPr>
        <w:numPr>
          <w:ilvl w:val="0"/>
          <w:numId w:val="1001"/>
        </w:numPr>
        <w:pStyle w:val="Compact"/>
      </w:pPr>
      <w:r>
        <w:rPr>
          <w:bCs/>
          <w:b/>
        </w:rPr>
        <w:t xml:space="preserve">Bridge education-industry gaps</w:t>
      </w:r>
      <w:r>
        <w:t xml:space="preserve">: Survey 200+ Architects practicing in Germany Berlin and architectural educators at TU Berlin and HfG Offenbach to map competency mismatches.</w:t>
      </w:r>
    </w:p>
    <w:p>
      <w:pPr>
        <w:numPr>
          <w:ilvl w:val="0"/>
          <w:numId w:val="1001"/>
        </w:numPr>
        <w:pStyle w:val="Compact"/>
      </w:pPr>
      <w:r>
        <w:rPr>
          <w:bCs/>
          <w:b/>
        </w:rPr>
        <w:t xml:space="preserve">Develop a contextual toolkit</w:t>
      </w:r>
      <w:r>
        <w:t xml:space="preserve">: Create an open-source digital platform for Berlin-specific sustainable design parameters (e.g., microclimate adaptation, historic material reuse, community co-design protocols).</w:t>
      </w:r>
    </w:p>
    <w:p>
      <w:pPr>
        <w:numPr>
          <w:ilvl w:val="0"/>
          <w:numId w:val="1001"/>
        </w:numPr>
        <w:pStyle w:val="Compact"/>
      </w:pPr>
      <w:r>
        <w:rPr>
          <w:bCs/>
          <w:b/>
        </w:rPr>
        <w:t xml:space="preserve">Policy advocacy framework</w:t>
      </w:r>
      <w:r>
        <w:t xml:space="preserve">: Propose regulatory reforms for German building codes that incentivize the Architects' role in circular urban ecosystems.</w:t>
      </w:r>
    </w:p>
    <w:bookmarkEnd w:id="22"/>
    <w:bookmarkStart w:id="23" w:name="theoretical-and-methodological-framework"/>
    <w:p>
      <w:pPr>
        <w:pStyle w:val="Heading2"/>
      </w:pPr>
      <w:r>
        <w:t xml:space="preserve">4. Theoretical and Methodological Framework</w:t>
      </w:r>
    </w:p>
    <w:p>
      <w:pPr>
        <w:pStyle w:val="FirstParagraph"/>
      </w:pPr>
      <w:r>
        <w:t xml:space="preserve">The research adopts a transdisciplinary approach, merging architectural theory with urban ecology and socio-technical systems analysis. Grounded in Berlin's "Energiewende" (energy transition) policy, the methodology combines:</w:t>
      </w:r>
    </w:p>
    <w:p>
      <w:pPr>
        <w:numPr>
          <w:ilvl w:val="0"/>
          <w:numId w:val="1002"/>
        </w:numPr>
        <w:pStyle w:val="Compact"/>
      </w:pPr>
      <w:r>
        <w:rPr>
          <w:bCs/>
          <w:b/>
        </w:rPr>
        <w:t xml:space="preserve">Case study analysis</w:t>
      </w:r>
      <w:r>
        <w:t xml:space="preserve">: Deep-dive assessments of 5 landmark projects (e.g., Solar Settlement at Vauban, Berlin's first climate-neutral housing cooperative) using Life Cycle Assessment (LCA) software.</w:t>
      </w:r>
    </w:p>
    <w:p>
      <w:pPr>
        <w:numPr>
          <w:ilvl w:val="0"/>
          <w:numId w:val="1002"/>
        </w:numPr>
        <w:pStyle w:val="Compact"/>
      </w:pPr>
      <w:r>
        <w:rPr>
          <w:bCs/>
          <w:b/>
        </w:rPr>
        <w:t xml:space="preserve">Participatory action research</w:t>
      </w:r>
      <w:r>
        <w:t xml:space="preserve">: Co-design workshops with 30 Architects and community representatives from marginalized districts like Marzahn-Hellersdorf to embed equity into design processes.</w:t>
      </w:r>
    </w:p>
    <w:p>
      <w:pPr>
        <w:numPr>
          <w:ilvl w:val="0"/>
          <w:numId w:val="1002"/>
        </w:numPr>
        <w:pStyle w:val="Compact"/>
      </w:pPr>
      <w:r>
        <w:rPr>
          <w:bCs/>
          <w:b/>
        </w:rPr>
        <w:t xml:space="preserve">Comparative policy review</w:t>
      </w:r>
      <w:r>
        <w:t xml:space="preserve">: Benchmarking Berlin's regulations against Copenhagen's "Climate-Resilient Building Code" and Amsterdam's circular construction policies.</w:t>
      </w:r>
    </w:p>
    <w:p>
      <w:pPr>
        <w:pStyle w:val="FirstParagraph"/>
      </w:pPr>
      <w:r>
        <w:t xml:space="preserve">Primary data will be triangulated with secondary sources from the Berlin Senate Department for Urban Development and Housing, German Sustainable Building Council (DGNB), and EU Climate-Neutral Cities Initiative reports. Ethical approval will be secured through Humboldt University Berlin's ethics board.</w:t>
      </w:r>
    </w:p>
    <w:bookmarkEnd w:id="23"/>
    <w:bookmarkStart w:id="24" w:name="significance-to-germany-berlin"/>
    <w:p>
      <w:pPr>
        <w:pStyle w:val="Heading2"/>
      </w:pPr>
      <w:r>
        <w:t xml:space="preserve">5. Significance to Germany Berlin</w:t>
      </w:r>
    </w:p>
    <w:p>
      <w:pPr>
        <w:pStyle w:val="FirstParagraph"/>
      </w:pPr>
      <w:r>
        <w:t xml:space="preserve">This Research Proposal directly addresses Berlin's 2030 climate neutrality target while positioning the city as a global leader in urban design. For the Architect profession in Germany, it offers:</w:t>
      </w:r>
    </w:p>
    <w:p>
      <w:pPr>
        <w:numPr>
          <w:ilvl w:val="0"/>
          <w:numId w:val="1003"/>
        </w:numPr>
        <w:pStyle w:val="Compact"/>
      </w:pPr>
      <w:r>
        <w:t xml:space="preserve">A standardized framework for integrating energy-positive design with cultural heritage conservation—critical given Berlin's 54% of buildings being pre-1945.</w:t>
      </w:r>
    </w:p>
    <w:p>
      <w:pPr>
        <w:numPr>
          <w:ilvl w:val="0"/>
          <w:numId w:val="1003"/>
        </w:numPr>
        <w:pStyle w:val="Compact"/>
      </w:pPr>
      <w:r>
        <w:t xml:space="preserve">Validated methodologies to counteract housing affordability crises through modular, community-led construction (e.g., adapting "Baugruppen" co-housing models).</w:t>
      </w:r>
    </w:p>
    <w:p>
      <w:pPr>
        <w:numPr>
          <w:ilvl w:val="0"/>
          <w:numId w:val="1003"/>
        </w:numPr>
        <w:pStyle w:val="Compact"/>
      </w:pPr>
      <w:r>
        <w:t xml:space="preserve">A professional development pathway for Architects to lead in emerging fields like urban forestry integration and adaptive reuse of industrial sites (e.g., Tempelhof Airport conversion).</w:t>
      </w:r>
    </w:p>
    <w:p>
      <w:pPr>
        <w:pStyle w:val="FirstParagraph"/>
      </w:pPr>
      <w:r>
        <w:t xml:space="preserve">By centering Berlin's unique socio-spatial challenges—historical division, refugee integration pressures, and rapid gentrification—the research transcends local applicability. Its findings will inform Germany's federal "National Strategy for Sustainable Buildings" (2023–2030) and provide scalable models for 78% of German cities facing similar urban transitions.</w:t>
      </w:r>
    </w:p>
    <w:bookmarkEnd w:id="24"/>
    <w:bookmarkStart w:id="25" w:name="expected-outcomes-and-dissemination"/>
    <w:p>
      <w:pPr>
        <w:pStyle w:val="Heading2"/>
      </w:pPr>
      <w:r>
        <w:t xml:space="preserve">6. Expected Outcomes and Dissemination</w:t>
      </w:r>
    </w:p>
    <w:p>
      <w:pPr>
        <w:pStyle w:val="FirstParagraph"/>
      </w:pPr>
      <w:r>
        <w:t xml:space="preserve">The project will deliver:</w:t>
      </w:r>
    </w:p>
    <w:p>
      <w:pPr>
        <w:numPr>
          <w:ilvl w:val="0"/>
          <w:numId w:val="1004"/>
        </w:numPr>
        <w:pStyle w:val="Compact"/>
      </w:pPr>
      <w:r>
        <w:t xml:space="preserve">A peer-reviewed academic monograph: "</w:t>
      </w:r>
      <w:r>
        <w:rPr>
          <w:iCs/>
          <w:i/>
        </w:rPr>
        <w:t xml:space="preserve">The Berlin Architect: Sustainable Practice in the 21st-Century Urban Fabric</w:t>
      </w:r>
      <w:r>
        <w:t xml:space="preserve">" published by Birkhäuser (Springer Nature).</w:t>
      </w:r>
    </w:p>
    <w:p>
      <w:pPr>
        <w:numPr>
          <w:ilvl w:val="0"/>
          <w:numId w:val="1004"/>
        </w:numPr>
        <w:pStyle w:val="Compact"/>
      </w:pPr>
      <w:r>
        <w:t xml:space="preserve">An interactive online toolkit for Architects featuring Berlin-specific climate data layers, material databases, and co-design templates—hosted on the Berlin Senate's digital platform.</w:t>
      </w:r>
    </w:p>
    <w:p>
      <w:pPr>
        <w:numPr>
          <w:ilvl w:val="0"/>
          <w:numId w:val="1004"/>
        </w:numPr>
        <w:pStyle w:val="Compact"/>
      </w:pPr>
      <w:r>
        <w:t xml:space="preserve">Policy briefs for the German Federal Ministry of Housing and Urban Development (BMWSB), directly influencing national building standards.</w:t>
      </w:r>
    </w:p>
    <w:p>
      <w:pPr>
        <w:numPr>
          <w:ilvl w:val="0"/>
          <w:numId w:val="1004"/>
        </w:numPr>
        <w:pStyle w:val="Compact"/>
      </w:pPr>
      <w:r>
        <w:t xml:space="preserve">Workshops at Germany's annual "Architekturwoche" in Berlin, engaging 500+ professionals across the country.</w:t>
      </w:r>
    </w:p>
    <w:p>
      <w:pPr>
        <w:pStyle w:val="FirstParagraph"/>
      </w:pPr>
      <w:r>
        <w:t xml:space="preserve">All outputs will be publicly accessible via open-access repositories, ensuring immediate utility for Architects throughout Germany. The digital toolkit will prioritize multilingual support (German/English) to facilitate international knowledge exchange—a key asset for German architectural firms expanding into EU markets post-2025.</w:t>
      </w:r>
    </w:p>
    <w:bookmarkEnd w:id="25"/>
    <w:bookmarkStart w:id="26" w:name="timeline-and-feasibility"/>
    <w:p>
      <w:pPr>
        <w:pStyle w:val="Heading2"/>
      </w:pPr>
      <w:r>
        <w:t xml:space="preserve">7. Timeline and Feasibility</w:t>
      </w:r>
    </w:p>
    <w:p>
      <w:pPr>
        <w:pStyle w:val="FirstParagraph"/>
      </w:pPr>
      <w:r>
        <w:t xml:space="preserve">A 16-month timeline ensures rigorous yet practical execution:</w:t>
      </w:r>
    </w:p>
    <w:p>
      <w:pPr>
        <w:numPr>
          <w:ilvl w:val="0"/>
          <w:numId w:val="1005"/>
        </w:numPr>
        <w:pStyle w:val="Compact"/>
      </w:pPr>
      <w:r>
        <w:rPr>
          <w:bCs/>
          <w:b/>
        </w:rPr>
        <w:t xml:space="preserve">Months 1–4</w:t>
      </w:r>
      <w:r>
        <w:t xml:space="preserve">: Literature synthesis, stakeholder mapping, ethics approval.</w:t>
      </w:r>
    </w:p>
    <w:p>
      <w:pPr>
        <w:numPr>
          <w:ilvl w:val="0"/>
          <w:numId w:val="1005"/>
        </w:numPr>
        <w:pStyle w:val="Compact"/>
      </w:pPr>
      <w:r>
        <w:rPr>
          <w:bCs/>
          <w:b/>
        </w:rPr>
        <w:t xml:space="preserve">Months 5–10</w:t>
      </w:r>
      <w:r>
        <w:t xml:space="preserve">: Data collection (case studies, surveys), co-design workshops in Berlin neighborhoods.</w:t>
      </w:r>
    </w:p>
    <w:p>
      <w:pPr>
        <w:numPr>
          <w:ilvl w:val="0"/>
          <w:numId w:val="1005"/>
        </w:numPr>
        <w:pStyle w:val="Compact"/>
      </w:pPr>
      <w:r>
        <w:rPr>
          <w:bCs/>
          <w:b/>
        </w:rPr>
        <w:t xml:space="preserve">Months 11–14</w:t>
      </w:r>
      <w:r>
        <w:t xml:space="preserve">: Toolkit development and policy draft creation.</w:t>
      </w:r>
    </w:p>
    <w:p>
      <w:pPr>
        <w:numPr>
          <w:ilvl w:val="0"/>
          <w:numId w:val="1005"/>
        </w:numPr>
        <w:pStyle w:val="Compact"/>
      </w:pPr>
      <w:r>
        <w:rPr>
          <w:bCs/>
          <w:b/>
        </w:rPr>
        <w:t xml:space="preserve">Months 15–16</w:t>
      </w:r>
      <w:r>
        <w:t xml:space="preserve">: Peer review, publication, stakeholder validation events in Berlin.</w:t>
      </w:r>
    </w:p>
    <w:p>
      <w:pPr>
        <w:pStyle w:val="FirstParagraph"/>
      </w:pPr>
      <w:r>
        <w:t xml:space="preserve">Feasibility is ensured through partnerships with Berlin's architectural community (e.g., BDA Berlin chapter), access to city archives via the Senatsverwaltung für Stadtentwicklung, and a pre-secured €285,000 grant from the German Federal Ministry for Economic Affairs and Climate Action (BMWK).</w:t>
      </w:r>
    </w:p>
    <w:bookmarkEnd w:id="26"/>
    <w:bookmarkStart w:id="27" w:name="conclusion"/>
    <w:p>
      <w:pPr>
        <w:pStyle w:val="Heading2"/>
      </w:pPr>
      <w:r>
        <w:t xml:space="preserve">8. Conclusion</w:t>
      </w:r>
    </w:p>
    <w:p>
      <w:pPr>
        <w:pStyle w:val="FirstParagraph"/>
      </w:pPr>
      <w:r>
        <w:t xml:space="preserve">This Research Proposal pioneers a transformative vision for the Architect in Germany Berlin—shifting from building designer to urban systems architect. By embedding sustainability within Berlin's historical and social DNA, it offers more than academic insight; it delivers actionable blueprints for a city that must reconcile its past with an urgent climate future. For Germany, this is not merely an architectural study but a strategic investment in national leadership in sustainable urbanism. As Berlin redefines itself post-reunification, the Architect's evolving role becomes the cornerstone of Germany's urban resilience—and this Research Proposal provides the roadmap to realize it.</w:t>
      </w:r>
    </w:p>
    <w:p>
      <w:pPr>
        <w:pStyle w:val="BodyText"/>
      </w:pPr>
      <w:r>
        <w:rPr>
          <w:iCs/>
          <w:i/>
        </w:rPr>
        <w:t xml:space="preserve">This document constitutes a formal Research Proposal submitted for consideration by the German Federal Ministry of Education and Research (BMBF) under funding program "Urban Futures 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Architectural Practice in Berlin, Germany</dc:title>
  <dc:creator/>
  <dc:language>en</dc:language>
  <cp:keywords/>
  <dcterms:created xsi:type="dcterms:W3CDTF">2026-09-25T04:41:32Z</dcterms:created>
  <dcterms:modified xsi:type="dcterms:W3CDTF">2026-09-25T04:41:32Z</dcterms:modified>
</cp:coreProperties>
</file>

<file path=docProps/custom.xml><?xml version="1.0" encoding="utf-8"?>
<Properties xmlns="http://schemas.openxmlformats.org/officeDocument/2006/custom-properties" xmlns:vt="http://schemas.openxmlformats.org/officeDocument/2006/docPropsVTypes"/>
</file>