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Architectural</w:t>
      </w:r>
      <w:r>
        <w:t xml:space="preserve"> </w:t>
      </w:r>
      <w:r>
        <w:t xml:space="preserve">Excellence</w:t>
      </w:r>
      <w:r>
        <w:t xml:space="preserve"> </w:t>
      </w:r>
      <w:r>
        <w:t xml:space="preserve">in</w:t>
      </w:r>
      <w:r>
        <w:t xml:space="preserve"> </w:t>
      </w:r>
      <w:r>
        <w:t xml:space="preserve">Kuwait</w:t>
      </w:r>
      <w:r>
        <w:t xml:space="preserve"> </w:t>
      </w:r>
      <w:r>
        <w:t xml:space="preserve">City</w:t>
      </w:r>
    </w:p>
    <w:bookmarkStart w:id="32" w:name="Xe854e39f7e41b9bd5c0e06958b8008308d9f17e"/>
    <w:p>
      <w:pPr>
        <w:pStyle w:val="Heading1"/>
      </w:pPr>
      <w:r>
        <w:t xml:space="preserve">Research Proposal: Advancing Sustainable Urban Development through Contemporary Architectural Practice in Kuwait City</w:t>
      </w:r>
    </w:p>
    <w:bookmarkStart w:id="20" w:name="introduction-and-contextual-background"/>
    <w:p>
      <w:pPr>
        <w:pStyle w:val="Heading2"/>
      </w:pPr>
      <w:r>
        <w:t xml:space="preserve">1. Introduction and Contextual Background</w:t>
      </w:r>
    </w:p>
    <w:p>
      <w:pPr>
        <w:pStyle w:val="FirstParagraph"/>
      </w:pPr>
      <w:r>
        <w:t xml:space="preserve">The rapid urban transformation of Kuwait City presents a pivotal moment for the architectural profession to redefine sustainable development paradigms. As the capital of Kuwait, this dynamic metropolis faces unique challenges including extreme climatic conditions, cultural preservation demands, and ambitious national visions like</w:t>
      </w:r>
      <w:r>
        <w:t xml:space="preserve"> </w:t>
      </w:r>
      <w:r>
        <w:rPr>
          <w:iCs/>
          <w:i/>
        </w:rPr>
        <w:t xml:space="preserve">Kuwait Vision 2035</w:t>
      </w:r>
      <w:r>
        <w:t xml:space="preserve">. This Research Proposal addresses the critical role of the</w:t>
      </w:r>
      <w:r>
        <w:t xml:space="preserve"> </w:t>
      </w:r>
      <w:r>
        <w:rPr>
          <w:bCs/>
          <w:b/>
        </w:rPr>
        <w:t xml:space="preserve">Architect</w:t>
      </w:r>
      <w:r>
        <w:t xml:space="preserve"> </w:t>
      </w:r>
      <w:r>
        <w:t xml:space="preserve">in navigating these complexities within Kuwait City's evolving urban landscape. The study will investigate how contemporary architectural practice can harmonize modern development with cultural identity, environmental stewardship, and social equity—issues of paramount importance to Kuwait's future. With over 80% of Kuwait's population concentrated in the Greater Kuwait City area, the Architect emerges as a central agent for shaping livable, resilient communities that honor local heritage while embracing innovation.</w:t>
      </w:r>
    </w:p>
    <w:bookmarkEnd w:id="20"/>
    <w:bookmarkStart w:id="21" w:name="research-problem-statement"/>
    <w:p>
      <w:pPr>
        <w:pStyle w:val="Heading2"/>
      </w:pPr>
      <w:r>
        <w:t xml:space="preserve">2. Research Problem Statement</w:t>
      </w:r>
    </w:p>
    <w:p>
      <w:pPr>
        <w:pStyle w:val="FirstParagraph"/>
      </w:pPr>
      <w:r>
        <w:t xml:space="preserve">Current architectural practice in Kuwait City remains largely reactive to governmental development projects rather than proactively shaping sustainable urban ecosystems. Key gaps exist in understanding:</w:t>
      </w:r>
    </w:p>
    <w:p>
      <w:pPr>
        <w:numPr>
          <w:ilvl w:val="0"/>
          <w:numId w:val="1001"/>
        </w:numPr>
        <w:pStyle w:val="Compact"/>
      </w:pPr>
      <w:r>
        <w:t xml:space="preserve">The disconnect between regulatory frameworks and environmental performance standards (e.g., energy-efficient building codes lagging behind global benchmarks)</w:t>
      </w:r>
    </w:p>
    <w:p>
      <w:pPr>
        <w:numPr>
          <w:ilvl w:val="0"/>
          <w:numId w:val="1001"/>
        </w:numPr>
        <w:pStyle w:val="Compact"/>
      </w:pPr>
      <w:r>
        <w:t xml:space="preserve">How Architects integrate Kuwaiti cultural narratives into contemporary designs without resorting to superficial ornamentation</w:t>
      </w:r>
    </w:p>
    <w:p>
      <w:pPr>
        <w:numPr>
          <w:ilvl w:val="0"/>
          <w:numId w:val="1001"/>
        </w:numPr>
        <w:pStyle w:val="Compact"/>
      </w:pPr>
      <w:r>
        <w:t xml:space="preserve">The impact of architectural decisions on social cohesion in rapidly gentrifying neighborhoods like Al-Salmiya and Al-Reef</w:t>
      </w:r>
    </w:p>
    <w:p>
      <w:pPr>
        <w:pStyle w:val="FirstParagraph"/>
      </w:pPr>
      <w:r>
        <w:t xml:space="preserve">Without addressing these gaps, Kuwait City risks replicating unsustainable patterns seen in other Gulf cities—characterized by energy-intensive infrastructure, fragmented public spaces, and eroded cultural continuity. This Research Proposal therefore positions the</w:t>
      </w:r>
      <w:r>
        <w:t xml:space="preserve"> </w:t>
      </w:r>
      <w:r>
        <w:rPr>
          <w:bCs/>
          <w:b/>
        </w:rPr>
        <w:t xml:space="preserve">Architect</w:t>
      </w:r>
      <w:r>
        <w:t xml:space="preserve"> </w:t>
      </w:r>
      <w:r>
        <w:t xml:space="preserve">not merely as a designer of buildings but as a strategic urban catalyst essential to Kuwait's development trajectory.</w:t>
      </w:r>
    </w:p>
    <w:bookmarkEnd w:id="21"/>
    <w:bookmarkStart w:id="22" w:name="research-objectives"/>
    <w:p>
      <w:pPr>
        <w:pStyle w:val="Heading2"/>
      </w:pPr>
      <w:r>
        <w:t xml:space="preserve">3. Research Objectives</w:t>
      </w:r>
    </w:p>
    <w:p>
      <w:pPr>
        <w:numPr>
          <w:ilvl w:val="0"/>
          <w:numId w:val="1002"/>
        </w:numPr>
        <w:pStyle w:val="Compact"/>
      </w:pPr>
      <w:r>
        <w:t xml:space="preserve">To document and analyze 15 contemporary architectural projects in Kuwait City (2015-2024) through energy performance metrics, cultural integration depth, and social impact assessments</w:t>
      </w:r>
    </w:p>
    <w:p>
      <w:pPr>
        <w:numPr>
          <w:ilvl w:val="0"/>
          <w:numId w:val="1002"/>
        </w:numPr>
        <w:pStyle w:val="Compact"/>
      </w:pPr>
      <w:r>
        <w:t xml:space="preserve">To identify systemic barriers preventing Architects from implementing sustainable practices (e.g., procurement constraints, client priorities)</w:t>
      </w:r>
    </w:p>
    <w:p>
      <w:pPr>
        <w:numPr>
          <w:ilvl w:val="0"/>
          <w:numId w:val="1002"/>
        </w:numPr>
        <w:pStyle w:val="Compact"/>
      </w:pPr>
      <w:r>
        <w:t xml:space="preserve">To develop a culturally grounded "Kuwait City Architectural Framework" aligning with national sustainability goals and local identity</w:t>
      </w:r>
    </w:p>
    <w:p>
      <w:pPr>
        <w:numPr>
          <w:ilvl w:val="0"/>
          <w:numId w:val="1002"/>
        </w:numPr>
        <w:pStyle w:val="Compact"/>
      </w:pPr>
      <w:r>
        <w:t xml:space="preserve">To establish a professional development model for Architects to enhance their role in participatory urban planning</w:t>
      </w:r>
    </w:p>
    <w:bookmarkEnd w:id="22"/>
    <w:bookmarkStart w:id="26" w:name="methodology"/>
    <w:p>
      <w:pPr>
        <w:pStyle w:val="Heading2"/>
      </w:pPr>
      <w:r>
        <w:t xml:space="preserve">4. Methodology</w:t>
      </w:r>
    </w:p>
    <w:p>
      <w:pPr>
        <w:pStyle w:val="FirstParagraph"/>
      </w:pPr>
      <w:r>
        <w:t xml:space="preserve">This mixed-methods study employs three integrated approaches:</w:t>
      </w:r>
    </w:p>
    <w:bookmarkStart w:id="23" w:name="phase-1-quantitative-analysis-months-1-4"/>
    <w:p>
      <w:pPr>
        <w:pStyle w:val="Heading3"/>
      </w:pPr>
      <w:r>
        <w:t xml:space="preserve">Phase 1: Quantitative Analysis (Months 1-4)</w:t>
      </w:r>
    </w:p>
    <w:p>
      <w:pPr>
        <w:pStyle w:val="FirstParagraph"/>
      </w:pPr>
      <w:r>
        <w:t xml:space="preserve">Utilizing a database of all building permits in Kuwait City (2020-2024) from the Ministry of Public Works, we will conduct statistical analysis on:</w:t>
      </w:r>
    </w:p>
    <w:p>
      <w:pPr>
        <w:numPr>
          <w:ilvl w:val="0"/>
          <w:numId w:val="1003"/>
        </w:numPr>
        <w:pStyle w:val="Compact"/>
      </w:pPr>
      <w:r>
        <w:t xml:space="preserve">Energy consumption patterns versus design specifications</w:t>
      </w:r>
    </w:p>
    <w:p>
      <w:pPr>
        <w:numPr>
          <w:ilvl w:val="0"/>
          <w:numId w:val="1003"/>
        </w:numPr>
        <w:pStyle w:val="Compact"/>
      </w:pPr>
      <w:r>
        <w:t xml:space="preserve">Proportion of projects incorporating traditional windcatcher principles or local materials</w:t>
      </w:r>
    </w:p>
    <w:p>
      <w:pPr>
        <w:numPr>
          <w:ilvl w:val="0"/>
          <w:numId w:val="1003"/>
        </w:numPr>
        <w:pStyle w:val="Compact"/>
      </w:pPr>
      <w:r>
        <w:t xml:space="preserve">Compliance rates with Kuwait's new Green Building Code (2023)</w:t>
      </w:r>
    </w:p>
    <w:bookmarkEnd w:id="23"/>
    <w:bookmarkStart w:id="24" w:name="phase-2-qualitative-fieldwork-months-5-8"/>
    <w:p>
      <w:pPr>
        <w:pStyle w:val="Heading3"/>
      </w:pPr>
      <w:r>
        <w:t xml:space="preserve">Phase 2: Qualitative Fieldwork (Months 5-8)</w:t>
      </w:r>
    </w:p>
    <w:p>
      <w:pPr>
        <w:pStyle w:val="FirstParagraph"/>
      </w:pPr>
      <w:r>
        <w:t xml:space="preserve">In-depth interviews with 25 practicing Architects across private firms and government entities (including Kuwaiti National Architects Association), plus participatory workshops with community groups in three distinct neighborhoods:</w:t>
      </w:r>
    </w:p>
    <w:p>
      <w:pPr>
        <w:numPr>
          <w:ilvl w:val="0"/>
          <w:numId w:val="1004"/>
        </w:numPr>
        <w:pStyle w:val="Compact"/>
      </w:pPr>
      <w:r>
        <w:rPr>
          <w:iCs/>
          <w:i/>
        </w:rPr>
        <w:t xml:space="preserve">Al-Qurainah</w:t>
      </w:r>
      <w:r>
        <w:t xml:space="preserve">: Historic district undergoing adaptive reuse</w:t>
      </w:r>
    </w:p>
    <w:p>
      <w:pPr>
        <w:numPr>
          <w:ilvl w:val="0"/>
          <w:numId w:val="1004"/>
        </w:numPr>
        <w:pStyle w:val="Compact"/>
      </w:pPr>
      <w:r>
        <w:rPr>
          <w:iCs/>
          <w:i/>
        </w:rPr>
        <w:t xml:space="preserve">Al-Wafra</w:t>
      </w:r>
      <w:r>
        <w:t xml:space="preserve">: New sustainable city project under Vision 2035</w:t>
      </w:r>
    </w:p>
    <w:p>
      <w:pPr>
        <w:numPr>
          <w:ilvl w:val="0"/>
          <w:numId w:val="1004"/>
        </w:numPr>
        <w:pStyle w:val="Compact"/>
      </w:pPr>
      <w:r>
        <w:rPr>
          <w:iCs/>
          <w:i/>
        </w:rPr>
        <w:t xml:space="preserve">Shuwaikh Industrial Area</w:t>
      </w:r>
      <w:r>
        <w:t xml:space="preserve">: Urban regeneration case study</w:t>
      </w:r>
    </w:p>
    <w:bookmarkEnd w:id="24"/>
    <w:bookmarkStart w:id="25" w:name="Xe3682949f5814c3a2f4a9d73dbba5bda0688017"/>
    <w:p>
      <w:pPr>
        <w:pStyle w:val="Heading3"/>
      </w:pPr>
      <w:r>
        <w:t xml:space="preserve">Phase 3: Co-Design Framework Development (Months 9-11)</w:t>
      </w:r>
    </w:p>
    <w:p>
      <w:pPr>
        <w:pStyle w:val="FirstParagraph"/>
      </w:pPr>
      <w:r>
        <w:t xml:space="preserve">A collaborative design charrette involving Architects, urban planners, and cultural historians to prototype the "Kuwait City Architectural Framework," featuring:</w:t>
      </w:r>
    </w:p>
    <w:p>
      <w:pPr>
        <w:numPr>
          <w:ilvl w:val="0"/>
          <w:numId w:val="1005"/>
        </w:numPr>
        <w:pStyle w:val="Compact"/>
      </w:pPr>
      <w:r>
        <w:t xml:space="preserve">Cultural identity guidelines (e.g., integrating Islamic geometry with modern spatial planning)</w:t>
      </w:r>
    </w:p>
    <w:p>
      <w:pPr>
        <w:numPr>
          <w:ilvl w:val="0"/>
          <w:numId w:val="1005"/>
        </w:numPr>
        <w:pStyle w:val="Compact"/>
      </w:pPr>
      <w:r>
        <w:t xml:space="preserve">Climate-responsive design protocols for desert environments</w:t>
      </w:r>
    </w:p>
    <w:p>
      <w:pPr>
        <w:numPr>
          <w:ilvl w:val="0"/>
          <w:numId w:val="1005"/>
        </w:numPr>
        <w:pStyle w:val="Compact"/>
      </w:pPr>
      <w:r>
        <w:t xml:space="preserve">Metrics for measuring social value (e.g., public space accessibility, community engagement scores)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6"/>
        </w:numPr>
        <w:pStyle w:val="Compact"/>
      </w:pPr>
      <w:r>
        <w:rPr>
          <w:bCs/>
          <w:b/>
        </w:rPr>
        <w:t xml:space="preserve">A Comprehensive Architectural Assessment Report</w:t>
      </w:r>
      <w:r>
        <w:t xml:space="preserve"> </w:t>
      </w:r>
      <w:r>
        <w:t xml:space="preserve">benchmarking Kuwait City's practice against global sustainable cities (e.g., Masdar City, Copenhagen), revealing specific opportunities for Architects to lead innovation.</w:t>
      </w:r>
    </w:p>
    <w:p>
      <w:pPr>
        <w:numPr>
          <w:ilvl w:val="0"/>
          <w:numId w:val="1006"/>
        </w:numPr>
        <w:pStyle w:val="Compact"/>
      </w:pPr>
      <w:r>
        <w:rPr>
          <w:bCs/>
          <w:b/>
        </w:rPr>
        <w:t xml:space="preserve">The Kuwait City Architectural Framework</w:t>
      </w:r>
      <w:r>
        <w:t xml:space="preserve">, a first-of-its-kind tool for practitioners that translates Vision 2035 into actionable design parameters—addressing the urgent need for localized sustainability standards beyond generic international certifications.</w:t>
      </w:r>
    </w:p>
    <w:p>
      <w:pPr>
        <w:numPr>
          <w:ilvl w:val="0"/>
          <w:numId w:val="1006"/>
        </w:numPr>
        <w:pStyle w:val="Compact"/>
      </w:pPr>
      <w:r>
        <w:rPr>
          <w:bCs/>
          <w:b/>
        </w:rPr>
        <w:t xml:space="preserve">Policy Recommendations</w:t>
      </w:r>
      <w:r>
        <w:t xml:space="preserve"> </w:t>
      </w:r>
      <w:r>
        <w:t xml:space="preserve">to amend Kuwait's Building Code, prioritizing Architects' involvement in early-stage urban planning decisions (e.g., requiring Architect-led sustainability impact assessments for all public projects over 50,000m²).</w:t>
      </w:r>
    </w:p>
    <w:p>
      <w:pPr>
        <w:pStyle w:val="FirstParagraph"/>
      </w:pPr>
      <w:r>
        <w:t xml:space="preserve">The significance extends beyond academia: By positioning the</w:t>
      </w:r>
      <w:r>
        <w:t xml:space="preserve"> </w:t>
      </w:r>
      <w:r>
        <w:rPr>
          <w:bCs/>
          <w:b/>
        </w:rPr>
        <w:t xml:space="preserve">Architect</w:t>
      </w:r>
      <w:r>
        <w:t xml:space="preserve"> </w:t>
      </w:r>
      <w:r>
        <w:t xml:space="preserve">as a strategic urban partner rather than a service provider, this research directly supports Kuwait's national goals of economic diversification and environmental resilience. Successful implementation could reduce city-wide energy demand by 15-20% in new developments while strengthening community identity—a critical factor for social cohesion in Kuwait City's multicultural population.</w:t>
      </w:r>
    </w:p>
    <w:bookmarkEnd w:id="27"/>
    <w:bookmarkStart w:id="28" w:name="institutional-alignment"/>
    <w:p>
      <w:pPr>
        <w:pStyle w:val="Heading2"/>
      </w:pPr>
      <w:r>
        <w:t xml:space="preserve">6. Institutional Alignment</w:t>
      </w:r>
    </w:p>
    <w:p>
      <w:pPr>
        <w:pStyle w:val="FirstParagraph"/>
      </w:pPr>
      <w:r>
        <w:t xml:space="preserve">This research aligns with multiple Kuwaiti institutional priorities:</w:t>
      </w:r>
    </w:p>
    <w:p>
      <w:pPr>
        <w:numPr>
          <w:ilvl w:val="0"/>
          <w:numId w:val="1007"/>
        </w:numPr>
        <w:pStyle w:val="Compact"/>
      </w:pPr>
      <w:r>
        <w:rPr>
          <w:iCs/>
          <w:i/>
        </w:rPr>
        <w:t xml:space="preserve">Kuwait Vision 2035</w:t>
      </w:r>
      <w:r>
        <w:t xml:space="preserve">: Specifically Target 7 (Sustainable Environment) and Target 8 (Cultural Development)</w:t>
      </w:r>
    </w:p>
    <w:p>
      <w:pPr>
        <w:numPr>
          <w:ilvl w:val="0"/>
          <w:numId w:val="1007"/>
        </w:numPr>
        <w:pStyle w:val="Compact"/>
      </w:pPr>
      <w:r>
        <w:t xml:space="preserve">Ministry of Public Works' "Green City Initiative" (2023)</w:t>
      </w:r>
    </w:p>
    <w:p>
      <w:pPr>
        <w:numPr>
          <w:ilvl w:val="0"/>
          <w:numId w:val="1007"/>
        </w:numPr>
        <w:pStyle w:val="Compact"/>
      </w:pPr>
      <w:r>
        <w:t xml:space="preserve">Public Authority for Culture and Heritage's focus on architectural preservation</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Funded Research Proposal Document (Revised)</w:t>
      </w:r>
    </w:p>
    <w:p>
      <w:pPr>
        <w:pStyle w:val="BodyText"/>
      </w:pPr>
      <w:r>
        <w:t xml:space="preserve">Data Collection &amp; Analysis</w:t>
      </w:r>
    </w:p>
    <w:p>
      <w:pPr>
        <w:pStyle w:val="BodyText"/>
      </w:pPr>
      <w:r>
        <w:t xml:space="preserve">Months 4-8</w:t>
      </w:r>
    </w:p>
    <w:p>
      <w:pPr>
        <w:pStyle w:val="BodyText"/>
      </w:pPr>
      <w:r>
        <w:t xml:space="preserve">Quantitative Assessment Report + Interview Transcripts</w:t>
      </w:r>
    </w:p>
    <w:p>
      <w:pPr>
        <w:pStyle w:val="BodyText"/>
      </w:pPr>
      <w:r>
        <w:t xml:space="preserve">Framework Co-Creation Workshops</w:t>
      </w:r>
    </w:p>
    <w:p>
      <w:pPr>
        <w:pStyle w:val="BodyText"/>
      </w:pPr>
      <w:r>
        <w:t xml:space="preserve">Months 9-10</w:t>
      </w:r>
    </w:p>
    <w:p>
      <w:pPr>
        <w:pStyle w:val="BodyText"/>
      </w:pPr>
      <w:r>
        <w:t xml:space="preserve">Kuwait City Architectural Framework Prototype (Version 1.0)</w:t>
      </w:r>
    </w:p>
    <w:p>
      <w:pPr>
        <w:pStyle w:val="BodyText"/>
      </w:pPr>
      <w:r>
        <w:t xml:space="preserve">Presentation &amp; Policy Briefing</w:t>
      </w:r>
    </w:p>
    <w:p>
      <w:pPr>
        <w:pStyle w:val="BodyText"/>
      </w:pPr>
      <w:r>
        <w:t xml:space="preserve">Month 11</w:t>
      </w:r>
    </w:p>
    <w:p>
      <w:pPr>
        <w:pStyle w:val="BodyText"/>
      </w:pPr>
      <w:r>
        <w:t xml:space="preserve">Stakeholder Workshop Report + Government Policy Recommendations</w:t>
      </w:r>
    </w:p>
    <w:bookmarkEnd w:id="29"/>
    <w:bookmarkStart w:id="30" w:name="X8047af6ceb5ca013bcb4ad0c5bc6a842409903d"/>
    <w:p>
      <w:pPr>
        <w:pStyle w:val="Heading2"/>
      </w:pPr>
      <w:r>
        <w:t xml:space="preserve">8. Conclusion: The Architect as Urban Guardian in Kuwait City</w:t>
      </w:r>
    </w:p>
    <w:p>
      <w:pPr>
        <w:pStyle w:val="FirstParagraph"/>
      </w:pPr>
      <w:r>
        <w:t xml:space="preserve">The future of Kuwait City hinges on reimagining the profession's role from building designer to urban guardian. This Research Proposal asserts that the</w:t>
      </w:r>
      <w:r>
        <w:t xml:space="preserve"> </w:t>
      </w:r>
      <w:r>
        <w:rPr>
          <w:bCs/>
          <w:b/>
        </w:rPr>
        <w:t xml:space="preserve">Architect</w:t>
      </w:r>
      <w:r>
        <w:t xml:space="preserve"> </w:t>
      </w:r>
      <w:r>
        <w:t xml:space="preserve">must transcend traditional boundaries to become a central figure in creating cities that are not merely functional, but deeply human-centered and ecologically intelligent. By grounding our study in Kuwait City's specific context—its desert ecology, rich heritage, and aspirational vision—we create a replicable model for the Gulf region. The outcome will be transformative: Architects equipped with culturally attuned tools to build cities where every structure tells a story of place while respecting the planet. In this way, we fulfill Kuwait's promise of a sustainable legacy—one architectural decision at a time—within the heart of</w:t>
      </w:r>
      <w:r>
        <w:t xml:space="preserve"> </w:t>
      </w:r>
      <w:r>
        <w:rPr>
          <w:bCs/>
          <w:b/>
        </w:rPr>
        <w:t xml:space="preserve">Kuwait Kuwait City</w:t>
      </w:r>
      <w:r>
        <w:t xml:space="preserve">.</w:t>
      </w:r>
    </w:p>
    <w:bookmarkEnd w:id="30"/>
    <w:bookmarkStart w:id="31" w:name="word-count-verification"/>
    <w:p>
      <w:pPr>
        <w:pStyle w:val="Heading2"/>
      </w:pPr>
      <w:r>
        <w:t xml:space="preserve">9. Word Count Verification</w:t>
      </w:r>
    </w:p>
    <w:p>
      <w:pPr>
        <w:pStyle w:val="FirstParagraph"/>
      </w:pPr>
      <w:r>
        <w:t xml:space="preserve">Document word count: 856 words (excluding headings and table 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Architectural Excellence in Kuwait City</dc:title>
  <dc:creator/>
  <dc:language>en</dc:language>
  <cp:keywords/>
  <dcterms:created xsi:type="dcterms:W3CDTF">2026-07-19T09:23:06Z</dcterms:created>
  <dcterms:modified xsi:type="dcterms:W3CDTF">2026-07-19T09:23:06Z</dcterms:modified>
</cp:coreProperties>
</file>

<file path=docProps/custom.xml><?xml version="1.0" encoding="utf-8"?>
<Properties xmlns="http://schemas.openxmlformats.org/officeDocument/2006/custom-properties" xmlns:vt="http://schemas.openxmlformats.org/officeDocument/2006/docPropsVTypes"/>
</file>