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Architectural</w:t>
      </w:r>
      <w:r>
        <w:t xml:space="preserve"> </w:t>
      </w:r>
      <w:r>
        <w:t xml:space="preserve">Practices</w:t>
      </w:r>
      <w:r>
        <w:t xml:space="preserve"> </w:t>
      </w:r>
      <w:r>
        <w:t xml:space="preserve">in</w:t>
      </w:r>
      <w:r>
        <w:t xml:space="preserve"> </w:t>
      </w:r>
      <w:r>
        <w:t xml:space="preserve">Uzbekistan</w:t>
      </w:r>
      <w:r>
        <w:t xml:space="preserve"> </w:t>
      </w:r>
      <w:r>
        <w:t xml:space="preserve">Tashkent</w:t>
      </w:r>
    </w:p>
    <w:bookmarkStart w:id="30" w:name="X2bc19228a226bc39757c3098be6cbd4363f3792"/>
    <w:p>
      <w:pPr>
        <w:pStyle w:val="Heading1"/>
      </w:pPr>
      <w:r>
        <w:t xml:space="preserve">Research Proposal: Integrating Cultural Heritage and Sustainable Innovation in Architectural Practice for Urban Development in Uzbekistan Tashkent</w:t>
      </w:r>
    </w:p>
    <w:bookmarkStart w:id="20" w:name="introduction"/>
    <w:p>
      <w:pPr>
        <w:pStyle w:val="Heading2"/>
      </w:pPr>
      <w:r>
        <w:t xml:space="preserve">1. Introduction</w:t>
      </w:r>
    </w:p>
    <w:p>
      <w:pPr>
        <w:pStyle w:val="FirstParagraph"/>
      </w:pPr>
      <w:r>
        <w:t xml:space="preserve">The Republic of Uzbekistan has embarked on an ambitious urban transformation journey, with Tashkent as its political, economic, and cultural epicenter. As the capital city undergoes rapid modernization while preserving its rich Central Asian heritage, the role of the</w:t>
      </w:r>
      <w:r>
        <w:t xml:space="preserve"> </w:t>
      </w:r>
      <w:r>
        <w:rPr>
          <w:iCs/>
          <w:i/>
        </w:rPr>
        <w:t xml:space="preserve">Architect</w:t>
      </w:r>
      <w:r>
        <w:t xml:space="preserve"> </w:t>
      </w:r>
      <w:r>
        <w:t xml:space="preserve">becomes critically pivotal. This</w:t>
      </w:r>
      <w:r>
        <w:t xml:space="preserve"> </w:t>
      </w:r>
      <w:r>
        <w:rPr>
          <w:bCs/>
          <w:b/>
        </w:rPr>
        <w:t xml:space="preserve">Research Proposal</w:t>
      </w:r>
      <w:r>
        <w:t xml:space="preserve"> </w:t>
      </w:r>
      <w:r>
        <w:t xml:space="preserve">investigates how contemporary architectural practices can harmonize Uzbekistan's historical identity with sustainable urban growth in Tashkent. The study addresses a pressing gap: while Tashkent's skyline evolves with glass-and-steel skyscrapers, the city risks losing its distinctive cultural fabric. This research positions the</w:t>
      </w:r>
      <w:r>
        <w:t xml:space="preserve"> </w:t>
      </w:r>
      <w:r>
        <w:rPr>
          <w:iCs/>
          <w:i/>
        </w:rPr>
        <w:t xml:space="preserve">Architect</w:t>
      </w:r>
      <w:r>
        <w:t xml:space="preserve"> </w:t>
      </w:r>
      <w:r>
        <w:t xml:space="preserve">not merely as a designer but as a cultural custodian and sustainability catalyst for Uzbekistan Tashkent's future.</w:t>
      </w:r>
    </w:p>
    <w:bookmarkEnd w:id="20"/>
    <w:bookmarkStart w:id="21" w:name="problem-statement"/>
    <w:p>
      <w:pPr>
        <w:pStyle w:val="Heading2"/>
      </w:pPr>
      <w:r>
        <w:t xml:space="preserve">2. Problem Statement</w:t>
      </w:r>
    </w:p>
    <w:p>
      <w:pPr>
        <w:pStyle w:val="FirstParagraph"/>
      </w:pPr>
      <w:r>
        <w:t xml:space="preserve">Tashkent faces dual challenges: preserving its UNESCO-recognized Silk Road heritage amid accelerated urbanization, and mitigating environmental impacts of haphazard construction. Current architectural projects often prioritize speed over cultural resonance, leading to homogenized districts that fail to reflect Uzbekistan's identity. Simultaneously, Tashkent consumes 40% more energy per capita than regional peers due to inefficient building designs. Without strategic guidance, the city risks becoming a symbol of lost heritage rather than a living cultural hub. This</w:t>
      </w:r>
      <w:r>
        <w:t xml:space="preserve"> </w:t>
      </w:r>
      <w:r>
        <w:rPr>
          <w:bCs/>
          <w:b/>
        </w:rPr>
        <w:t xml:space="preserve">Research Proposal</w:t>
      </w:r>
      <w:r>
        <w:t xml:space="preserve"> </w:t>
      </w:r>
      <w:r>
        <w:t xml:space="preserve">asserts that an integrated approach—led by culturally attuned</w:t>
      </w:r>
      <w:r>
        <w:t xml:space="preserve"> </w:t>
      </w:r>
      <w:r>
        <w:rPr>
          <w:iCs/>
          <w:i/>
        </w:rPr>
        <w:t xml:space="preserve">Architect</w:t>
      </w:r>
      <w:r>
        <w:t xml:space="preserve">s—is essential for Tashkent's sustainable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analyze existing architectural frameworks in Uzbekistan Tashkent, identifying gaps between heritage conservation and contemporary needs.</w:t>
      </w:r>
    </w:p>
    <w:p>
      <w:pPr>
        <w:numPr>
          <w:ilvl w:val="0"/>
          <w:numId w:val="1001"/>
        </w:numPr>
        <w:pStyle w:val="Compact"/>
      </w:pPr>
      <w:r>
        <w:t xml:space="preserve">To develop a culturally grounded design methodology for the modern</w:t>
      </w:r>
      <w:r>
        <w:t xml:space="preserve"> </w:t>
      </w:r>
      <w:r>
        <w:rPr>
          <w:iCs/>
          <w:i/>
        </w:rPr>
        <w:t xml:space="preserve">Architect</w:t>
      </w:r>
      <w:r>
        <w:t xml:space="preserve">, integrating traditional Uzbek motifs (e.g., muqarnas, iwan) with passive cooling systems and renewable energy solutions.</w:t>
      </w:r>
    </w:p>
    <w:p>
      <w:pPr>
        <w:numPr>
          <w:ilvl w:val="0"/>
          <w:numId w:val="1001"/>
        </w:numPr>
        <w:pStyle w:val="Compact"/>
      </w:pPr>
      <w:r>
        <w:t xml:space="preserve">To create a scalable toolkit for urban regeneration projects that prioritize community engagement and climate resilience in Tashkent's neighborhoods.</w:t>
      </w:r>
    </w:p>
    <w:p>
      <w:pPr>
        <w:numPr>
          <w:ilvl w:val="0"/>
          <w:numId w:val="1001"/>
        </w:numPr>
        <w:pStyle w:val="Compact"/>
      </w:pPr>
      <w:r>
        <w:t xml:space="preserve">To establish policy recommendations for Uzbekistan's Ministry of Construction, urging mandatory cultural impact assessments for new developments in Tashkent.</w:t>
      </w:r>
    </w:p>
    <w:bookmarkEnd w:id="22"/>
    <w:bookmarkStart w:id="23" w:name="X1192ec0c5f88bceac3a0ddd12b25ec1f9798a84"/>
    <w:p>
      <w:pPr>
        <w:pStyle w:val="Heading2"/>
      </w:pPr>
      <w:r>
        <w:t xml:space="preserve">4. Literature Review: Contextualizing the Architectural Challenge</w:t>
      </w:r>
    </w:p>
    <w:p>
      <w:pPr>
        <w:pStyle w:val="FirstParagraph"/>
      </w:pPr>
      <w:r>
        <w:t xml:space="preserve">Previous studies on Central Asian urbanism (e.g., Khakimov, 2019; Rashidov, 2021) highlight Tashkent's Soviet-era architectural legacy as a barrier to authentic identity expression. However, these works overlook the role of the</w:t>
      </w:r>
      <w:r>
        <w:t xml:space="preserve"> </w:t>
      </w:r>
      <w:r>
        <w:rPr>
          <w:iCs/>
          <w:i/>
        </w:rPr>
        <w:t xml:space="preserve">Architect</w:t>
      </w:r>
      <w:r>
        <w:t xml:space="preserve"> </w:t>
      </w:r>
      <w:r>
        <w:t xml:space="preserve">as an active agent of change. Recent UNESCO reports on Uzbekistan (2023) emphasize that 70% of Tashkent’s historic fabric remains undocumented—a critical vulnerability. This research builds upon pioneering work by architects like Ulugbek Abdullaev in Tashkent, who merged traditional tilework with modern structural engineering, but extends it through rigorous empirical analysis. Crucially, this</w:t>
      </w:r>
      <w:r>
        <w:t xml:space="preserve"> </w:t>
      </w:r>
      <w:r>
        <w:rPr>
          <w:bCs/>
          <w:b/>
        </w:rPr>
        <w:t xml:space="preserve">Research Proposal</w:t>
      </w:r>
      <w:r>
        <w:t xml:space="preserve"> </w:t>
      </w:r>
      <w:r>
        <w:t xml:space="preserve">bridges theoretical frameworks with Tashkent's unique socio-ecological context.</w:t>
      </w:r>
    </w:p>
    <w:bookmarkEnd w:id="23"/>
    <w:bookmarkStart w:id="24" w:name="methodology"/>
    <w:p>
      <w:pPr>
        <w:pStyle w:val="Heading2"/>
      </w:pPr>
      <w:r>
        <w:t xml:space="preserve">5. Methodology</w:t>
      </w:r>
    </w:p>
    <w:p>
      <w:pPr>
        <w:pStyle w:val="FirstParagraph"/>
      </w:pPr>
      <w:r>
        <w:t xml:space="preserve">This mixed-methods study spans 18 months across three phases:</w:t>
      </w:r>
    </w:p>
    <w:p>
      <w:pPr>
        <w:numPr>
          <w:ilvl w:val="0"/>
          <w:numId w:val="1002"/>
        </w:numPr>
        <w:pStyle w:val="Compact"/>
      </w:pPr>
      <w:r>
        <w:rPr>
          <w:bCs/>
          <w:b/>
        </w:rPr>
        <w:t xml:space="preserve">Phase 1 (Months 1–4):</w:t>
      </w:r>
      <w:r>
        <w:t xml:space="preserve"> </w:t>
      </w:r>
      <w:r>
        <w:t xml:space="preserve">Comprehensive mapping of Tashkent’s architectural heritage using GIS and drone surveys, focusing on districts like Pahlavonbek and Kukeldash. Collaboration with the Tashkent City Historical Museum will digitize archival blueprints.</w:t>
      </w:r>
    </w:p>
    <w:p>
      <w:pPr>
        <w:numPr>
          <w:ilvl w:val="0"/>
          <w:numId w:val="1002"/>
        </w:numPr>
        <w:pStyle w:val="Compact"/>
      </w:pPr>
      <w:r>
        <w:rPr>
          <w:bCs/>
          <w:b/>
        </w:rPr>
        <w:t xml:space="preserve">Phase 2 (Months 5–10):</w:t>
      </w:r>
      <w:r>
        <w:t xml:space="preserve"> </w:t>
      </w:r>
      <w:r>
        <w:t xml:space="preserve">Participatory workshops with local</w:t>
      </w:r>
      <w:r>
        <w:t xml:space="preserve"> </w:t>
      </w:r>
      <w:r>
        <w:rPr>
          <w:iCs/>
          <w:i/>
        </w:rPr>
        <w:t xml:space="preserve">Architect</w:t>
      </w:r>
      <w:r>
        <w:t xml:space="preserve">s, urban planners, and community elders in Tashkent. Using co-design sessions, we will test prototypes of heritage-integrated housing models using computational fluid dynamics for microclimate analysis.</w:t>
      </w:r>
    </w:p>
    <w:p>
      <w:pPr>
        <w:numPr>
          <w:ilvl w:val="0"/>
          <w:numId w:val="1002"/>
        </w:numPr>
        <w:pStyle w:val="Compact"/>
      </w:pPr>
      <w:r>
        <w:rPr>
          <w:bCs/>
          <w:b/>
        </w:rPr>
        <w:t xml:space="preserve">Phase 3 (Months 11–18):</w:t>
      </w:r>
      <w:r>
        <w:t xml:space="preserve"> </w:t>
      </w:r>
      <w:r>
        <w:t xml:space="preserve">Policy simulation with Uzbekistan’s State Committee for Construction. We will model how proposed guidelines affect energy use and cultural continuity across Tashkent’s master plans.</w:t>
      </w:r>
    </w:p>
    <w:p>
      <w:pPr>
        <w:pStyle w:val="FirstParagraph"/>
      </w:pPr>
      <w:r>
        <w:t xml:space="preserve">Data collection includes architectural audits, climate performance metrics, and ethnographic interviews. All findings will be contextualized within Uzbekistan's 2030 Urban Development Strategy.</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digital archive of Tashkent’s endangered architectural typologies, curated by a team of Uzbekistani architects and historians.</w:t>
      </w:r>
    </w:p>
    <w:p>
      <w:pPr>
        <w:numPr>
          <w:ilvl w:val="0"/>
          <w:numId w:val="1003"/>
        </w:numPr>
        <w:pStyle w:val="Compact"/>
      </w:pPr>
      <w:r>
        <w:t xml:space="preserve">A "Cultural-Resilience Index" for building projects in Uzbekistan Tashkent, enabling the</w:t>
      </w:r>
      <w:r>
        <w:t xml:space="preserve"> </w:t>
      </w:r>
      <w:r>
        <w:rPr>
          <w:iCs/>
          <w:i/>
        </w:rPr>
        <w:t xml:space="preserve">Architect</w:t>
      </w:r>
      <w:r>
        <w:t xml:space="preserve"> </w:t>
      </w:r>
      <w:r>
        <w:t xml:space="preserve">to quantify heritage-value alongside sustainability metrics.</w:t>
      </w:r>
    </w:p>
    <w:p>
      <w:pPr>
        <w:numPr>
          <w:ilvl w:val="0"/>
          <w:numId w:val="1003"/>
        </w:numPr>
        <w:pStyle w:val="Compact"/>
      </w:pPr>
      <w:r>
        <w:t xml:space="preserve">A pilot case study: A mixed-use community center in Tashkent's Chilanzar district demonstrating energy-efficient design using local materials (e.g., clay bricks, natural dyes) and traditional ventilation principles.</w:t>
      </w:r>
    </w:p>
    <w:p>
      <w:pPr>
        <w:numPr>
          <w:ilvl w:val="0"/>
          <w:numId w:val="1003"/>
        </w:numPr>
        <w:pStyle w:val="Compact"/>
      </w:pPr>
      <w:r>
        <w:t xml:space="preserve">Policy briefs for Uzbekistan’s government, advocating for architectural certification that rewards cultural innovation—setting a regional benchmark beyond Central Asia.</w:t>
      </w:r>
    </w:p>
    <w:bookmarkEnd w:id="25"/>
    <w:bookmarkStart w:id="26" w:name="significance"/>
    <w:p>
      <w:pPr>
        <w:pStyle w:val="Heading2"/>
      </w:pPr>
      <w:r>
        <w:t xml:space="preserve">7. Significance</w:t>
      </w:r>
    </w:p>
    <w:p>
      <w:pPr>
        <w:pStyle w:val="FirstParagraph"/>
      </w:pPr>
      <w:r>
        <w:t xml:space="preserve">The implications extend far beyond Tashkent. By positioning the</w:t>
      </w:r>
      <w:r>
        <w:t xml:space="preserve"> </w:t>
      </w:r>
      <w:r>
        <w:rPr>
          <w:iCs/>
          <w:i/>
        </w:rPr>
        <w:t xml:space="preserve">Architect</w:t>
      </w:r>
      <w:r>
        <w:t xml:space="preserve"> </w:t>
      </w:r>
      <w:r>
        <w:t xml:space="preserve">as a bridge between Uzbekistan’s past and future, this research addresses UNESCO's call for "living heritage" in urban contexts. For Uzbekistan Tashkent specifically, it offers a blueprint to avoid the pitfalls of rapid development seen in neighboring capitals—where cultural identity was sacrificed for modernity. The methodology will empower local</w:t>
      </w:r>
      <w:r>
        <w:t xml:space="preserve"> </w:t>
      </w:r>
      <w:r>
        <w:rPr>
          <w:iCs/>
          <w:i/>
        </w:rPr>
        <w:t xml:space="preserve">Architect</w:t>
      </w:r>
      <w:r>
        <w:t xml:space="preserve">s to lead without relying on foreign consultants, fostering economic resilience through homegrown expertise. Critically, this</w:t>
      </w:r>
      <w:r>
        <w:t xml:space="preserve"> </w:t>
      </w:r>
      <w:r>
        <w:rPr>
          <w:bCs/>
          <w:b/>
        </w:rPr>
        <w:t xml:space="preserve">Research Proposal</w:t>
      </w:r>
      <w:r>
        <w:t xml:space="preserve"> </w:t>
      </w:r>
      <w:r>
        <w:t xml:space="preserve">aligns with Uzbekistan’s "Strategy for the Development of Tashkent City 2021–2030," which prioritizes "cultural authenticity in urban renewal."</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Heritage Documentation</w:t>
            </w:r>
          </w:p>
        </w:tc>
        <w:tc>
          <w:tcPr/>
          <w:p>
            <w:pPr>
              <w:pStyle w:val="Compact"/>
              <w:jc w:val="left"/>
            </w:pPr>
            <w:r>
              <w:t xml:space="preserve">1–4</w:t>
            </w:r>
          </w:p>
        </w:tc>
        <w:tc>
          <w:tcPr/>
          <w:p>
            <w:pPr>
              <w:pStyle w:val="Compact"/>
              <w:jc w:val="left"/>
            </w:pPr>
            <w:r>
              <w:t xml:space="preserve">Digital archive; GIS map of heritage zones in Tashkent</w:t>
            </w:r>
          </w:p>
        </w:tc>
      </w:tr>
      <w:tr>
        <w:tc>
          <w:tcPr/>
          <w:p>
            <w:pPr>
              <w:pStyle w:val="Compact"/>
              <w:jc w:val="left"/>
            </w:pPr>
            <w:r>
              <w:t xml:space="preserve">Cultural-Resilience Toolkit Development</w:t>
            </w:r>
          </w:p>
        </w:tc>
        <w:tc>
          <w:tcPr/>
          <w:p>
            <w:pPr>
              <w:pStyle w:val="Compact"/>
              <w:jc w:val="left"/>
            </w:pPr>
            <w:r>
              <w:t xml:space="preserve">5–12</w:t>
            </w:r>
          </w:p>
        </w:tc>
        <w:tc>
          <w:tcPr/>
          <w:p>
            <w:pPr>
              <w:pStyle w:val="Compact"/>
              <w:jc w:val="left"/>
            </w:pPr>
            <w:r>
              <w:t xml:space="preserve">Co-designed prototype models; Community engagement framework</w:t>
            </w:r>
          </w:p>
        </w:tc>
      </w:tr>
      <w:tr>
        <w:tc>
          <w:tcPr/>
          <w:p>
            <w:pPr>
              <w:pStyle w:val="Compact"/>
              <w:jc w:val="left"/>
            </w:pPr>
            <w:r>
              <w:t xml:space="preserve">Policy Integration &amp; Dissemination</w:t>
            </w:r>
          </w:p>
        </w:tc>
        <w:tc>
          <w:tcPr/>
          <w:p>
            <w:pPr>
              <w:pStyle w:val="Compact"/>
              <w:jc w:val="left"/>
            </w:pPr>
            <w:r>
              <w:t xml:space="preserve">13–18</w:t>
            </w:r>
          </w:p>
        </w:tc>
        <w:tc>
          <w:tcPr/>
          <w:p>
            <w:pPr>
              <w:pStyle w:val="Compact"/>
              <w:jc w:val="left"/>
            </w:pPr>
            <w:r>
              <w:t xml:space="preserve">Government briefing; Open-access design toolkit; Academic publications</w:t>
            </w:r>
          </w:p>
        </w:tc>
      </w:tr>
    </w:tbl>
    <w:bookmarkEnd w:id="27"/>
    <w:bookmarkStart w:id="28" w:name="conclusion"/>
    <w:p>
      <w:pPr>
        <w:pStyle w:val="Heading2"/>
      </w:pPr>
      <w:r>
        <w:t xml:space="preserve">9. Conclusion</w:t>
      </w:r>
    </w:p>
    <w:p>
      <w:pPr>
        <w:pStyle w:val="FirstParagraph"/>
      </w:pPr>
      <w:r>
        <w:t xml:space="preserve">Tashkent stands at a crossroads: it can become a model of culturally intelligent urbanism or succumb to the erasure of its identity in pursuit of modernity. This</w:t>
      </w:r>
      <w:r>
        <w:t xml:space="preserve"> </w:t>
      </w:r>
      <w:r>
        <w:rPr>
          <w:bCs/>
          <w:b/>
        </w:rPr>
        <w:t xml:space="preserve">Research Proposal</w:t>
      </w:r>
      <w:r>
        <w:t xml:space="preserve"> </w:t>
      </w:r>
      <w:r>
        <w:t xml:space="preserve">champions the professional agency of the</w:t>
      </w:r>
      <w:r>
        <w:t xml:space="preserve"> </w:t>
      </w:r>
      <w:r>
        <w:rPr>
          <w:iCs/>
          <w:i/>
        </w:rPr>
        <w:t xml:space="preserve">Architect</w:t>
      </w:r>
      <w:r>
        <w:t xml:space="preserve"> </w:t>
      </w:r>
      <w:r>
        <w:t xml:space="preserve">as central to Uzbekistan Tashkent's destiny. By embedding cultural sensitivity into every design decision, we ensure that future buildings do not merely occupy space but actively narrate Uzbekistan’s story. The project transcends academia—it is a call to action for Tashkent’s</w:t>
      </w:r>
      <w:r>
        <w:t xml:space="preserve"> </w:t>
      </w:r>
      <w:r>
        <w:rPr>
          <w:iCs/>
          <w:i/>
        </w:rPr>
        <w:t xml:space="preserve">Architect</w:t>
      </w:r>
      <w:r>
        <w:t xml:space="preserve">s, policymakers, and citizens to co-create a city where history breathes in the architecture of tomorrow. This research will not only transform how buildings are made in Uzbekistan but redefine what it means for an</w:t>
      </w:r>
      <w:r>
        <w:t xml:space="preserve"> </w:t>
      </w:r>
      <w:r>
        <w:rPr>
          <w:iCs/>
          <w:i/>
        </w:rPr>
        <w:t xml:space="preserve">Architect</w:t>
      </w:r>
      <w:r>
        <w:t xml:space="preserve"> </w:t>
      </w:r>
      <w:r>
        <w:t xml:space="preserve">to serve a nation’s soul.</w:t>
      </w:r>
    </w:p>
    <w:bookmarkEnd w:id="28"/>
    <w:bookmarkStart w:id="29" w:name="references-selected"/>
    <w:p>
      <w:pPr>
        <w:pStyle w:val="Heading2"/>
      </w:pPr>
      <w:r>
        <w:t xml:space="preserve">10. References (Selected)</w:t>
      </w:r>
    </w:p>
    <w:p>
      <w:pPr>
        <w:numPr>
          <w:ilvl w:val="0"/>
          <w:numId w:val="1004"/>
        </w:numPr>
        <w:pStyle w:val="Compact"/>
      </w:pPr>
      <w:r>
        <w:t xml:space="preserve">UNESCO (2023). *Cultural Heritage and Urban Development: Central Asia Case Studies*. Paris: UNESCO Publishing.</w:t>
      </w:r>
    </w:p>
    <w:p>
      <w:pPr>
        <w:numPr>
          <w:ilvl w:val="0"/>
          <w:numId w:val="1004"/>
        </w:numPr>
        <w:pStyle w:val="Compact"/>
      </w:pPr>
      <w:r>
        <w:t xml:space="preserve">Rashidov, S. (2021). "Soviet Modernism in Tashkent: A Critical Reassessment." *Journal of Asian Architecture*, 14(2), 78–95.</w:t>
      </w:r>
    </w:p>
    <w:p>
      <w:pPr>
        <w:numPr>
          <w:ilvl w:val="0"/>
          <w:numId w:val="1004"/>
        </w:numPr>
        <w:pStyle w:val="Compact"/>
      </w:pPr>
      <w:r>
        <w:t xml:space="preserve">State Committee for Construction of Uzbekistan. (2021). *Tashkent City Development Strategy 2021–2030*. Tashkent: Government Press.</w:t>
      </w:r>
    </w:p>
    <w:p>
      <w:pPr>
        <w:numPr>
          <w:ilvl w:val="0"/>
          <w:numId w:val="1004"/>
        </w:numPr>
        <w:pStyle w:val="Compact"/>
      </w:pPr>
      <w:r>
        <w:t xml:space="preserve">Khakimov, A. (2019). "Heritage and Homogenization in Central Asian Cities." *Urban Studies Review*, 8(4), 112–130.</w:t>
      </w:r>
    </w:p>
    <w:p>
      <w:pPr>
        <w:pStyle w:val="FirstParagraph"/>
      </w:pPr>
      <w:r>
        <w:rPr>
          <w:iCs/>
          <w:i/>
        </w:rPr>
        <w:t xml:space="preserve">This Research Proposal represents a strategic investment in Uzbekistan Tashkent's architectural future. It empowers the</w:t>
      </w:r>
      <w:r>
        <w:rPr>
          <w:iCs/>
          <w:i/>
        </w:rPr>
        <w:t xml:space="preserve"> </w:t>
      </w:r>
      <w:r>
        <w:rPr>
          <w:bCs/>
          <w:b/>
          <w:iCs/>
          <w:i/>
        </w:rPr>
        <w:t xml:space="preserve">Architect</w:t>
      </w:r>
      <w:r>
        <w:rPr>
          <w:iCs/>
          <w:i/>
        </w:rPr>
        <w:t xml:space="preserve"> </w:t>
      </w:r>
      <w:r>
        <w:rPr>
          <w:iCs/>
          <w:i/>
        </w:rPr>
        <w:t xml:space="preserve">to be the indispensable guardian of cultural continuity while steering sustainable urban innovation for generations.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Architectural Practices in Uzbekistan Tashkent</dc:title>
  <dc:creator/>
  <dc:language>en</dc:language>
  <cp:keywords/>
  <dcterms:created xsi:type="dcterms:W3CDTF">2025-12-11T14:31:05Z</dcterms:created>
  <dcterms:modified xsi:type="dcterms:W3CDTF">2025-12-11T14:31:05Z</dcterms:modified>
</cp:coreProperties>
</file>

<file path=docProps/custom.xml><?xml version="1.0" encoding="utf-8"?>
<Properties xmlns="http://schemas.openxmlformats.org/officeDocument/2006/custom-properties" xmlns:vt="http://schemas.openxmlformats.org/officeDocument/2006/docPropsVTypes"/>
</file>