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7" w:name="Xe9e9ee547576e54535590eb41cf98c8de725db7"/>
    <w:p>
      <w:pPr>
        <w:pStyle w:val="Heading1"/>
      </w:pPr>
      <w:r>
        <w:t xml:space="preserve">Research Proposal: Advancing Auditor Professionalism and Innovation in the Australia Melbourne Context</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remains pivotal within Australia's financial ecosystem, ensuring transparency, accountability, and trust in corporate governance. As Melbourne solidifies its position as a major financial hub for Australia—boasting the headquarters of numerous multinational corporations, ASX-listed entities, and emerging FinTech innovators—the demand for highly skilled</w:t>
      </w:r>
      <w:r>
        <w:t xml:space="preserve"> </w:t>
      </w:r>
      <w:r>
        <w:rPr>
          <w:bCs/>
          <w:b/>
        </w:rPr>
        <w:t xml:space="preserve">Auditor</w:t>
      </w:r>
      <w:r>
        <w:t xml:space="preserve">s capable of navigating complex regulatory landscapes has never been more critical. This</w:t>
      </w:r>
      <w:r>
        <w:t xml:space="preserve"> </w:t>
      </w:r>
      <w:r>
        <w:rPr>
          <w:bCs/>
          <w:b/>
        </w:rPr>
        <w:t xml:space="preserve">Research Proposal</w:t>
      </w:r>
      <w:r>
        <w:t xml:space="preserve"> </w:t>
      </w:r>
      <w:r>
        <w:t xml:space="preserve">outlines a comprehensive study into the evolving professional competencies, ethical challenges, and technological adaptations required for contemporary auditors operating within the unique regulatory and economic environment of</w:t>
      </w:r>
      <w:r>
        <w:t xml:space="preserve"> </w:t>
      </w:r>
      <w:r>
        <w:rPr>
          <w:bCs/>
          <w:b/>
        </w:rPr>
        <w:t xml:space="preserve">Australia Melbourne</w:t>
      </w:r>
      <w:r>
        <w:t xml:space="preserve">. The research addresses a significant gap: while global auditing standards are well-documented, context-specific insights into auditor efficacy in Melbourne's dynamic market remain underexplored.</w:t>
      </w:r>
    </w:p>
    <w:bookmarkEnd w:id="20"/>
    <w:bookmarkStart w:id="21" w:name="literature-review-and-problem-statement"/>
    <w:p>
      <w:pPr>
        <w:pStyle w:val="Heading2"/>
      </w:pPr>
      <w:r>
        <w:t xml:space="preserve">Literature Review and Problem Statement</w:t>
      </w:r>
    </w:p>
    <w:p>
      <w:pPr>
        <w:pStyle w:val="FirstParagraph"/>
      </w:pPr>
      <w:r>
        <w:t xml:space="preserve">Existing literature emphasizes the global shift towards risk-based auditing, digital transformation, and heightened regulatory scrutiny (ASIC, 2023; ISA 240). However, studies focusing on Australia—particularly Melbourne—are scarce. Australian audit firms face unique pressures: stringent compliance with the Corporations Act 2001 and Australian Auditing Standards (ASA), intense competition from Sydney-based firms, and the rapid growth of Melbourne’s startup ecosystem requiring nuanced audit approaches. A recent KPMG report (2023) noted that 68% of Australian clients cite "audit relevance" as a top concern, yet Melbourne-specific data on auditor-client communication gaps or technological adoption rates is lacking. This gap impedes evidence-based policy development by bodies like the Australian Auditing and Assurance Standards Board (AUASB). The central problem addressed here is: *How can the professional capabilities of auditors in Australia Melbourne be optimized to meet evolving regulatory demands, client expectations, and digital disruption while upholding audit quality?*</w:t>
      </w:r>
    </w:p>
    <w:bookmarkEnd w:id="21"/>
    <w:bookmarkStart w:id="22" w:name="research-objectives"/>
    <w:p>
      <w:pPr>
        <w:pStyle w:val="Heading2"/>
      </w:pPr>
      <w:r>
        <w:t xml:space="preserve">Research Objectives</w:t>
      </w:r>
    </w:p>
    <w:p>
      <w:pPr>
        <w:numPr>
          <w:ilvl w:val="0"/>
          <w:numId w:val="1001"/>
        </w:numPr>
        <w:pStyle w:val="Compact"/>
      </w:pPr>
      <w:r>
        <w:t xml:space="preserve">To evaluate current competency frameworks for auditors within Melbourne-based audit firms against the Australian Auditing Standards (ASA) and ASIC guidelines.</w:t>
      </w:r>
    </w:p>
    <w:p>
      <w:pPr>
        <w:numPr>
          <w:ilvl w:val="0"/>
          <w:numId w:val="1001"/>
        </w:numPr>
        <w:pStyle w:val="Compact"/>
      </w:pPr>
      <w:r>
        <w:t xml:space="preserve">To identify sector-specific challenges faced by the Auditor in Melbourne’s key industries: financial services, healthcare, and emerging technology.</w:t>
      </w:r>
    </w:p>
    <w:p>
      <w:pPr>
        <w:numPr>
          <w:ilvl w:val="0"/>
          <w:numId w:val="1001"/>
        </w:numPr>
        <w:pStyle w:val="Compact"/>
      </w:pPr>
      <w:r>
        <w:t xml:space="preserve">To assess the impact of digital tools (AI, data analytics) on auditor efficiency and audit quality in Australia Melbourne contexts.</w:t>
      </w:r>
    </w:p>
    <w:p>
      <w:pPr>
        <w:numPr>
          <w:ilvl w:val="0"/>
          <w:numId w:val="1001"/>
        </w:numPr>
        <w:pStyle w:val="Compact"/>
      </w:pPr>
      <w:r>
        <w:t xml:space="preserve">To develop a contextualized framework for enhancing auditor ethics training and professional development aligned with Victoria’s regulatory landscape.</w:t>
      </w:r>
    </w:p>
    <w:bookmarkEnd w:id="22"/>
    <w:bookmarkStart w:id="23" w:name="methodology"/>
    <w:p>
      <w:pPr>
        <w:pStyle w:val="Heading2"/>
      </w:pPr>
      <w:r>
        <w:t xml:space="preserve">Methodology</w:t>
      </w:r>
    </w:p>
    <w:p>
      <w:pPr>
        <w:pStyle w:val="FirstParagraph"/>
      </w:pPr>
      <w:r>
        <w:t xml:space="preserve">This mixed-methods study will employ a sequential approach. Phase 1 involves quantitative analysis of 5+ years of ASIC enforcement reports on audit failures across Melbourne-based firms, identifying recurring risk areas (e.g., revenue recognition in tech startups). Phase 2 comprises qualitative semi-structured interviews with 30+ key stakeholders: senior</w:t>
      </w:r>
      <w:r>
        <w:t xml:space="preserve"> </w:t>
      </w:r>
      <w:r>
        <w:rPr>
          <w:bCs/>
          <w:b/>
        </w:rPr>
        <w:t xml:space="preserve">Auditor</w:t>
      </w:r>
      <w:r>
        <w:t xml:space="preserve">s from Big Four and mid-tier Melbourne firms, ASIC regulators, and CFOs of ASX-listed Victorian companies. Critical incident technique (CIT) will be used to capture real-world challenges. Phase 3 will deploy a structured survey across 150+ auditors in Melbourne to quantify adoption rates of emerging technologies (e.g., continuous auditing tools) and training needs. All data collection will adhere to the National Statement on Ethical Conduct in Human Research (2023), with strict confidentiality protocols for Melbourne participants. Analysis will utilize NVivo for qualitative data and SPSS for statistical patterns, ensuring findings are grounded in</w:t>
      </w:r>
      <w:r>
        <w:t xml:space="preserve"> </w:t>
      </w:r>
      <w:r>
        <w:rPr>
          <w:bCs/>
          <w:b/>
        </w:rPr>
        <w:t xml:space="preserve">Australia Melbourne</w:t>
      </w:r>
      <w:r>
        <w:t xml:space="preserve"> </w:t>
      </w:r>
      <w:r>
        <w:t xml:space="preserve">realities.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critical needs within the Australian auditing profession. The anticipated outcomes include: (1) A validated competency matrix tailored for auditors operating in Melbourne’s specific market, incorporating Victoria’s legal nuances; (2) Evidence-based recommendations for AUASB on updating auditor guidance documents to reflect digital-era challenges in Australia; (3) A best-practice toolkit for audit firms to enhance ethics training, particularly regarding ESG reporting—a growing requirement in Melbourne corporate boardrooms. Crucially, the</w:t>
      </w:r>
      <w:r>
        <w:t xml:space="preserve"> </w:t>
      </w:r>
      <w:r>
        <w:rPr>
          <w:bCs/>
          <w:b/>
        </w:rPr>
        <w:t xml:space="preserve">Research Proposal</w:t>
      </w:r>
      <w:r>
        <w:t xml:space="preserve"> </w:t>
      </w:r>
      <w:r>
        <w:t xml:space="preserve">will provide actionable insights for regulators like ASIC to refine their oversight strategies within</w:t>
      </w:r>
      <w:r>
        <w:t xml:space="preserve"> </w:t>
      </w:r>
      <w:r>
        <w:rPr>
          <w:bCs/>
          <w:b/>
        </w:rPr>
        <w:t xml:space="preserve">Australia Melbourne</w:t>
      </w:r>
      <w:r>
        <w:t xml:space="preserve">, potentially reducing compliance costs for 15,000+ Victorian businesses reliant on audited financial statements. The findings will also inform university curricula at institutions like the University of Melbourne and RMIT, ensuring next-generation auditors are equipped for local demands.</w:t>
      </w:r>
    </w:p>
    <w:bookmarkEnd w:id="24"/>
    <w:bookmarkStart w:id="25" w:name="timeline-and-resources"/>
    <w:p>
      <w:pPr>
        <w:pStyle w:val="Heading2"/>
      </w:pPr>
      <w:r>
        <w:t xml:space="preserve">Timeline and Resources</w:t>
      </w:r>
    </w:p>
    <w:p>
      <w:pPr>
        <w:pStyle w:val="FirstParagraph"/>
      </w:pPr>
      <w:r>
        <w:t xml:space="preserve">The project spans 18 months. Months 1-3 focus on literature review and stakeholder mapping in Melbourne. Months 4-9 involve data collection (interviews/surveys), with rigorous ethical approvals secured through the University of Melbourne Human Research Ethics Committee. Months 10-15 are dedicated to analysis, followed by months 16-18 for drafting, stakeholder validation workshops in Melbourne CBD, and final report publication. Required resources include access to ASIC datasets (via formal Data Access Agreement), a research assistant fluent in Australian auditing terminology, and travel funds for Melbourne-based fieldwork. Funding will be sought from the Australian Research Council (ARC) and industry partners like the Institute of Public Accountants (IPA) Victoria.</w:t>
      </w:r>
    </w:p>
    <w:bookmarkEnd w:id="25"/>
    <w:bookmarkStart w:id="26" w:name="conclusion"/>
    <w:p>
      <w:pPr>
        <w:pStyle w:val="Heading2"/>
      </w:pPr>
      <w:r>
        <w:t xml:space="preserve">Conclusion</w:t>
      </w:r>
    </w:p>
    <w:p>
      <w:pPr>
        <w:pStyle w:val="FirstParagraph"/>
      </w:pPr>
      <w:r>
        <w:t xml:space="preserve">The integrity of Australia’s capital markets hinges on a robust auditor profession, especially as Melbourne evolves into a global innovation center. This</w:t>
      </w:r>
      <w:r>
        <w:t xml:space="preserve"> </w:t>
      </w:r>
      <w:r>
        <w:rPr>
          <w:bCs/>
          <w:b/>
        </w:rPr>
        <w:t xml:space="preserve">Research Proposal</w:t>
      </w:r>
      <w:r>
        <w:t xml:space="preserve"> </w:t>
      </w:r>
      <w:r>
        <w:t xml:space="preserve">establishes a vital foundation for understanding and elevating the role of the</w:t>
      </w:r>
      <w:r>
        <w:t xml:space="preserve"> </w:t>
      </w:r>
      <w:r>
        <w:rPr>
          <w:bCs/>
          <w:b/>
        </w:rPr>
        <w:t xml:space="preserve">Auditor</w:t>
      </w:r>
      <w:r>
        <w:t xml:space="preserve"> </w:t>
      </w:r>
      <w:r>
        <w:t xml:space="preserve">in one of Australia’s most economically significant cities. By centering the study on Melbourne’s unique regulatory ecosystem, industry clusters, and emerging digital challenges, this research will produce localized solutions that enhance audit quality beyond theoretical models. It responds directly to calls from the Australian Accounting Standards Board (AASB) for context-specific evidence and supports Australia Melbourne as a leader in professional services excellence. The proposed work transcends academic inquiry; it is a strategic investment in the credibility of Australia’s financial reporting, with tangible benefits for businesses, investors, and policymakers across the nation. Ultimately, this study promises to redefine how auditors operate in</w:t>
      </w:r>
      <w:r>
        <w:t xml:space="preserve"> </w:t>
      </w:r>
      <w:r>
        <w:rPr>
          <w:bCs/>
          <w:b/>
        </w:rPr>
        <w:t xml:space="preserve">Australia Melbourne</w:t>
      </w:r>
      <w:r>
        <w:t xml:space="preserve">, ensuring their practices remain agile, ethical, and indispensable in an era of unprecedented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and Innovation in Australia Melbourne</dc:title>
  <dc:creator/>
  <dc:language>en</dc:language>
  <cp:keywords/>
  <dcterms:created xsi:type="dcterms:W3CDTF">2026-05-02T23:02:56Z</dcterms:created>
  <dcterms:modified xsi:type="dcterms:W3CDTF">2026-05-02T23:02:56Z</dcterms:modified>
</cp:coreProperties>
</file>

<file path=docProps/custom.xml><?xml version="1.0" encoding="utf-8"?>
<Properties xmlns="http://schemas.openxmlformats.org/officeDocument/2006/custom-properties" xmlns:vt="http://schemas.openxmlformats.org/officeDocument/2006/docPropsVTypes"/>
</file>