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Belgium</w:t>
      </w:r>
      <w:r>
        <w:t xml:space="preserve"> </w:t>
      </w:r>
      <w:r>
        <w:t xml:space="preserve">Brussels</w:t>
      </w:r>
    </w:p>
    <w:bookmarkStart w:id="28" w:name="Xf599f5e4d09fab974d5dc214d816caccf40405d"/>
    <w:p>
      <w:pPr>
        <w:pStyle w:val="Heading1"/>
      </w:pPr>
      <w:r>
        <w:t xml:space="preserve">Research Proposal: Advancing Auditor Professionalism and Regulatory Compliance within the European Financial Ecosystem of Belgium Brussels</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Auditor</w:t>
      </w:r>
      <w:r>
        <w:t xml:space="preserve"> </w:t>
      </w:r>
      <w:r>
        <w:t xml:space="preserve">has become increasingly pivotal in Belgium Brussels, where the European Union's institutional presence creates a unique confluence of multinational regulations, cross-border financial transactions, and stringent compliance demands. As the de facto capital of the European Union, Brussels hosts over 30 EU institutions, including the European Commission and Council of the EU, alongside numerous international organizations and corporate headquarters. This environment subjects Belgian auditors to a complex regulatory tapestry spanning national legislation (e.g., Belgian Accounting Law), International Financial Reporting Standards (IFRS), EU Directives (such as the Audit Directive 2014/56/EU), and sector-specific rules. The current</w:t>
      </w:r>
      <w:r>
        <w:t xml:space="preserve"> </w:t>
      </w:r>
      <w:r>
        <w:rPr>
          <w:bCs/>
          <w:b/>
        </w:rPr>
        <w:t xml:space="preserve">Research Proposal</w:t>
      </w:r>
      <w:r>
        <w:t xml:space="preserve"> </w:t>
      </w:r>
      <w:r>
        <w:t xml:space="preserve">addresses a critical gap: while audit firms operate extensively in Belgium Brussels, there is limited empirical research examining how local auditors navigate these multi-layered frameworks to maintain integrity amid rising financial complexity. This study directly responds to the European Commission's 2023 call for enhanced auditor independence and accountability within EU financial markets.</w:t>
      </w:r>
    </w:p>
    <w:bookmarkEnd w:id="20"/>
    <w:bookmarkStart w:id="21" w:name="problem-statement"/>
    <w:p>
      <w:pPr>
        <w:pStyle w:val="Heading2"/>
      </w:pPr>
      <w:r>
        <w:t xml:space="preserve">2. Problem Statement</w:t>
      </w:r>
    </w:p>
    <w:p>
      <w:pPr>
        <w:pStyle w:val="FirstParagraph"/>
      </w:pPr>
      <w:r>
        <w:t xml:space="preserve">Recent high-profile corporate governance failures in European entities (e.g., Wirecard, Carillion) have intensified scrutiny on auditor effectiveness. In Belgium Brussels, auditors face unique pressures: the convergence of EU-wide regulations with Belgian legal traditions, the presence of EU institutions requiring audit services under distinct contractual frameworks, and evolving cybersecurity threats to financial data integrity. Current literature lacks granular analysis of how</w:t>
      </w:r>
      <w:r>
        <w:t xml:space="preserve"> </w:t>
      </w:r>
      <w:r>
        <w:rPr>
          <w:bCs/>
          <w:b/>
        </w:rPr>
        <w:t xml:space="preserve">Auditor</w:t>
      </w:r>
      <w:r>
        <w:t xml:space="preserve"> </w:t>
      </w:r>
      <w:r>
        <w:t xml:space="preserve">practices in this specific jurisdiction adapt to these challenges. This gap risks perpetuating inconsistencies in audit quality—particularly concerning ESG (Environmental, Social, Governance) disclosures and digital asset verification—potentially undermining investor confidence across the EU. Without targeted research, Belgium Brussels cannot fully leverage its position as a hub for European financial governance to set global best practices for auditor professionalism.</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three interconnected objectives:</w:t>
      </w:r>
    </w:p>
    <w:p>
      <w:pPr>
        <w:numPr>
          <w:ilvl w:val="0"/>
          <w:numId w:val="1001"/>
        </w:numPr>
        <w:pStyle w:val="Compact"/>
      </w:pPr>
      <w:r>
        <w:rPr>
          <w:iCs/>
          <w:i/>
        </w:rPr>
        <w:t xml:space="preserve">To map the regulatory interplay</w:t>
      </w:r>
      <w:r>
        <w:t xml:space="preserve">: Analyze how auditors in Belgium Brussels reconcile Belgian legal requirements with EU directives and international standards (e.g., ISA 200) in practice, focusing on high-risk sectors like fintech and EU-funded projects.</w:t>
      </w:r>
    </w:p>
    <w:p>
      <w:pPr>
        <w:numPr>
          <w:ilvl w:val="0"/>
          <w:numId w:val="1001"/>
        </w:numPr>
        <w:pStyle w:val="Compact"/>
      </w:pPr>
      <w:r>
        <w:rPr>
          <w:iCs/>
          <w:i/>
        </w:rPr>
        <w:t xml:space="preserve">To evaluate audit quality drivers</w:t>
      </w:r>
      <w:r>
        <w:t xml:space="preserve">: Identify specific factors—such as auditor independence mechanisms, technological adoption (AI in audit analytics), and cross-border collaboration—that enhance or hinder compliance within Brussels-based firms.</w:t>
      </w:r>
    </w:p>
    <w:p>
      <w:pPr>
        <w:numPr>
          <w:ilvl w:val="0"/>
          <w:numId w:val="1001"/>
        </w:numPr>
        <w:pStyle w:val="Compact"/>
      </w:pPr>
      <w:r>
        <w:rPr>
          <w:iCs/>
          <w:i/>
        </w:rPr>
        <w:t xml:space="preserve">To develop jurisdictional best practices</w:t>
      </w:r>
      <w:r>
        <w:t xml:space="preserve">: Co-create a framework for auditors operating in Belgium Brussels to systematically address emerging risks (e.g., crypto-asset auditing, climate-related financial disclosures under the EU Taxonomy Regulation).</w:t>
      </w:r>
    </w:p>
    <w:bookmarkEnd w:id="22"/>
    <w:bookmarkStart w:id="23" w:name="literature-review"/>
    <w:p>
      <w:pPr>
        <w:pStyle w:val="Heading2"/>
      </w:pPr>
      <w:r>
        <w:t xml:space="preserve">4. Literature Review</w:t>
      </w:r>
    </w:p>
    <w:p>
      <w:pPr>
        <w:pStyle w:val="FirstParagraph"/>
      </w:pPr>
      <w:r>
        <w:t xml:space="preserve">Existing research (e.g., DeFond &amp; Zhang, 2014; Bamber et al., 2019) establishes auditor independence as foundational to credibility but rarely contextualizes this in multi-jurisdictional hubs like Belgium Brussels. Studies on EU audit regulation (Bhattacharya et al., 2021) emphasize structural reforms but overlook the operational realities faced by local auditors. Belgian academic work (e.g., Verbeke, 2020) examines national compliance but neglects the EU institutional ecosystem's influence. This gap is critical: Brussels-based auditors serve entities subject to both national and EU oversight—a duality absent in prior studies. Our research bridges this by grounding theory in the unique Brussels environment, where a single audit report may satisfy Belgian courts, EU Commission audits, and international investors simultaneously.</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Quantitative Phase (Months 1–6)</w:t>
      </w:r>
      <w:r>
        <w:t xml:space="preserve">: Survey 150 auditors from top firms in Belgium Brussels (including PwC, EY, Deloitte, and local firms like KPMG Belgium) using a standardized scale measuring regulatory adaptation efficacy. Data will be analyzed via regression to correlate firm size, sector focus, and audit quality metrics.</w:t>
      </w:r>
    </w:p>
    <w:p>
      <w:pPr>
        <w:numPr>
          <w:ilvl w:val="0"/>
          <w:numId w:val="1002"/>
        </w:numPr>
        <w:pStyle w:val="Compact"/>
      </w:pPr>
      <w:r>
        <w:rPr>
          <w:bCs/>
          <w:b/>
        </w:rPr>
        <w:t xml:space="preserve">Qualitative Phase (Months 7–15)</w:t>
      </w:r>
      <w:r>
        <w:t xml:space="preserve">: Conduct 30 in-depth interviews with senior auditors, Belgian Institute of Accountants (IBB) regulators, and EU institutional compliance officers. Focus group sessions will explore challenges in ESG audits and digital evidence collection.</w:t>
      </w:r>
    </w:p>
    <w:p>
      <w:pPr>
        <w:numPr>
          <w:ilvl w:val="0"/>
          <w:numId w:val="1002"/>
        </w:numPr>
        <w:pStyle w:val="Compact"/>
      </w:pPr>
      <w:r>
        <w:rPr>
          <w:bCs/>
          <w:b/>
        </w:rPr>
        <w:t xml:space="preserve">Case Studies (Months 12–18)</w:t>
      </w:r>
      <w:r>
        <w:t xml:space="preserve">: Analyze 5 high-profile audit engagements in Belgium Brussels involving EU-funded projects (e.g., Horizon Europe grants) to document conflict resolution strategies across regulatory layers.</w:t>
      </w:r>
    </w:p>
    <w:p>
      <w:pPr>
        <w:pStyle w:val="FirstParagraph"/>
      </w:pPr>
      <w:r>
        <w:t xml:space="preserve">All data will be anonymized per GDPR and analyzed using NVivo (qualitative) and SPSS (quantitative). Ethical approval will be sought from the Université Libre de Bruxelles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actionable insights for multiple stakeholders:</w:t>
      </w:r>
    </w:p>
    <w:p>
      <w:pPr>
        <w:numPr>
          <w:ilvl w:val="0"/>
          <w:numId w:val="1003"/>
        </w:numPr>
        <w:pStyle w:val="Compact"/>
      </w:pPr>
      <w:r>
        <w:rPr>
          <w:iCs/>
          <w:i/>
        </w:rPr>
        <w:t xml:space="preserve">For Auditors in Belgium Brussels</w:t>
      </w:r>
      <w:r>
        <w:t xml:space="preserve">: A practical "Compliance Navigation Toolkit" addressing EU-Belgian regulatory overlaps, including templates for risk assessment in cross-border audits.</w:t>
      </w:r>
    </w:p>
    <w:p>
      <w:pPr>
        <w:numPr>
          <w:ilvl w:val="0"/>
          <w:numId w:val="1003"/>
        </w:numPr>
        <w:pStyle w:val="Compact"/>
      </w:pPr>
      <w:r>
        <w:rPr>
          <w:iCs/>
          <w:i/>
        </w:rPr>
        <w:t xml:space="preserve">For Regulators (IBB, ESMA)</w:t>
      </w:r>
      <w:r>
        <w:t xml:space="preserve">: Evidence to refine auditor training requirements under the EU Audit Regulation 2016/1938, particularly regarding emerging technologies and green finance.</w:t>
      </w:r>
    </w:p>
    <w:p>
      <w:pPr>
        <w:numPr>
          <w:ilvl w:val="0"/>
          <w:numId w:val="1003"/>
        </w:numPr>
        <w:pStyle w:val="Compact"/>
      </w:pPr>
      <w:r>
        <w:rPr>
          <w:iCs/>
          <w:i/>
        </w:rPr>
        <w:t xml:space="preserve">For Belgium Brussels as a Financial Hub</w:t>
      </w:r>
      <w:r>
        <w:t xml:space="preserve">: A blueprint positioning the city as a leader in harmonized audit standards, attracting EU institutional contracts and reinforcing its status as Europe’s governance epicenter.</w:t>
      </w:r>
    </w:p>
    <w:p>
      <w:pPr>
        <w:pStyle w:val="FirstParagraph"/>
      </w:pPr>
      <w:r>
        <w:t xml:space="preserve">Significantly, findings will directly inform the European Commission’s ongoing review of auditor oversight. By centering the Belgium Brussels ecosystem—a nexus of global finance—we advance not just local practice but contribute to EU-wide policy coherence. The research also addresses UN Sustainable Development Goal 16 (Peace, Justice, and Strong Institutions) by strengthening financial transparency.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Finalized methodology and ethics approval</w:t>
            </w:r>
          </w:p>
        </w:tc>
      </w:tr>
      <w:tr>
        <w:tc>
          <w:tcPr/>
          <w:p>
            <w:pPr>
              <w:pStyle w:val="Compact"/>
              <w:jc w:val="left"/>
            </w:pPr>
            <w:r>
              <w:t xml:space="preserve">Data Collection: Surveys &amp; Interviews</w:t>
            </w:r>
          </w:p>
        </w:tc>
        <w:tc>
          <w:tcPr/>
          <w:p>
            <w:pPr>
              <w:pStyle w:val="Compact"/>
              <w:jc w:val="left"/>
            </w:pPr>
            <w:r>
              <w:t xml:space="preserve">Months 4–12</w:t>
            </w:r>
          </w:p>
        </w:tc>
        <w:tc>
          <w:tcPr/>
          <w:p>
            <w:pPr>
              <w:pStyle w:val="Compact"/>
              <w:jc w:val="left"/>
            </w:pPr>
            <w:r>
              <w:t xml:space="preserve">Survey dataset; Interview transcripts; Preliminary themes</w:t>
            </w:r>
          </w:p>
        </w:tc>
      </w:tr>
      <w:tr>
        <w:tc>
          <w:tcPr/>
          <w:p>
            <w:pPr>
              <w:pStyle w:val="Compact"/>
              <w:jc w:val="left"/>
            </w:pPr>
            <w:r>
              <w:t xml:space="preserve">Data Analysis &amp; Case Studies</w:t>
            </w:r>
          </w:p>
        </w:tc>
        <w:tc>
          <w:tcPr/>
          <w:p>
            <w:pPr>
              <w:pStyle w:val="Compact"/>
              <w:jc w:val="left"/>
            </w:pPr>
            <w:r>
              <w:t xml:space="preserve">Months 13–16</w:t>
            </w:r>
          </w:p>
        </w:tc>
        <w:tc>
          <w:tcPr/>
          <w:p>
            <w:pPr>
              <w:pStyle w:val="Compact"/>
              <w:jc w:val="left"/>
            </w:pPr>
            <w:r>
              <w:t xml:space="preserve">Quality assessment model; Regulatory mapping framework</w:t>
            </w:r>
          </w:p>
        </w:tc>
      </w:tr>
      <w:tr>
        <w:tc>
          <w:tcPr/>
          <w:p>
            <w:pPr>
              <w:pStyle w:val="Compact"/>
              <w:jc w:val="left"/>
            </w:pPr>
            <w:r>
              <w:t xml:space="preserve">Dissemination &amp; Toolkit Development</w:t>
            </w:r>
          </w:p>
        </w:tc>
        <w:tc>
          <w:tcPr/>
          <w:p>
            <w:pPr>
              <w:pStyle w:val="Compact"/>
              <w:jc w:val="left"/>
            </w:pPr>
            <w:r>
              <w:t xml:space="preserve">Months 17–18</w:t>
            </w:r>
          </w:p>
        </w:tc>
        <w:tc>
          <w:tcPr/>
          <w:p>
            <w:pPr>
              <w:pStyle w:val="Compact"/>
              <w:jc w:val="left"/>
            </w:pPr>
            <w:r>
              <w:t xml:space="preserve">Publish findings in EU Audit Journal; Launch auditor toolkit</w:t>
            </w:r>
          </w:p>
        </w:tc>
      </w:tr>
    </w:tbl>
    <w:bookmarkEnd w:id="26"/>
    <w:bookmarkStart w:id="27" w:name="conclusion"/>
    <w:p>
      <w:pPr>
        <w:pStyle w:val="Heading2"/>
      </w:pPr>
      <w:r>
        <w:t xml:space="preserve">8. Conclusion</w:t>
      </w:r>
    </w:p>
    <w:p>
      <w:pPr>
        <w:pStyle w:val="FirstParagraph"/>
      </w:pPr>
      <w:r>
        <w:t xml:space="preserve">This comprehensive</w:t>
      </w:r>
      <w:r>
        <w:t xml:space="preserve"> </w:t>
      </w:r>
      <w:r>
        <w:rPr>
          <w:bCs/>
          <w:b/>
        </w:rPr>
        <w:t xml:space="preserve">Research Proposal</w:t>
      </w:r>
      <w:r>
        <w:t xml:space="preserve"> </w:t>
      </w:r>
      <w:r>
        <w:t xml:space="preserve">tackles a critical need: optimizing the performance of the</w:t>
      </w:r>
      <w:r>
        <w:t xml:space="preserve"> </w:t>
      </w:r>
      <w:r>
        <w:rPr>
          <w:bCs/>
          <w:b/>
        </w:rPr>
        <w:t xml:space="preserve">Auditor</w:t>
      </w:r>
      <w:r>
        <w:t xml:space="preserve"> </w:t>
      </w:r>
      <w:r>
        <w:t xml:space="preserve">within Belgium Brussels’ unparalleled regulatory landscape. As the heart of European governance, Belgium Brussels is uniquely positioned to pioneer auditor frameworks that balance local compliance with EU-wide standardization. By focusing on real-world challenges—from crypto-audit complexities to ESG verification—this research moves beyond theoretical discourse to deliver tangible tools for auditors operating at the intersection of national and continental finance. The outcomes will not only elevate audit quality in Belgium but also provide a replicable model for global financial hubs navigating regulatory multiplicity. In an era of increasing financial interconnectedness, this study is imperative to safeguard market integrity and uphold the trust essential to Brussels’ role as Europe’s institutional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Accountability in Belgium Brussels</dc:title>
  <dc:creator/>
  <dc:language>en</dc:language>
  <cp:keywords/>
  <dcterms:created xsi:type="dcterms:W3CDTF">2026-07-17T21:49:09Z</dcterms:created>
  <dcterms:modified xsi:type="dcterms:W3CDTF">2026-07-17T21:49:09Z</dcterms:modified>
</cp:coreProperties>
</file>

<file path=docProps/custom.xml><?xml version="1.0" encoding="utf-8"?>
<Properties xmlns="http://schemas.openxmlformats.org/officeDocument/2006/custom-properties" xmlns:vt="http://schemas.openxmlformats.org/officeDocument/2006/docPropsVTypes"/>
</file>