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Effectiveness</w:t>
      </w:r>
      <w:r>
        <w:t xml:space="preserve"> </w:t>
      </w:r>
      <w:r>
        <w:t xml:space="preserve">and</w:t>
      </w:r>
      <w:r>
        <w:t xml:space="preserve"> </w:t>
      </w:r>
      <w:r>
        <w:t xml:space="preserve">Compliance</w:t>
      </w:r>
      <w:r>
        <w:t xml:space="preserve"> </w:t>
      </w:r>
      <w:r>
        <w:t xml:space="preserve">Challenges</w:t>
      </w:r>
      <w:r>
        <w:t xml:space="preserve"> </w:t>
      </w:r>
      <w:r>
        <w:t xml:space="preserve">in</w:t>
      </w:r>
      <w:r>
        <w:t xml:space="preserve"> </w:t>
      </w:r>
      <w:r>
        <w:t xml:space="preserve">Chile</w:t>
      </w:r>
      <w:r>
        <w:t xml:space="preserve"> </w:t>
      </w:r>
      <w:r>
        <w:t xml:space="preserve">Santiago</w:t>
      </w:r>
    </w:p>
    <w:bookmarkStart w:id="29" w:name="X20a8e3b11a549795c19068cde94063066066c0a"/>
    <w:p>
      <w:pPr>
        <w:pStyle w:val="Heading1"/>
      </w:pPr>
      <w:r>
        <w:t xml:space="preserve">Research Proposal: Enhancing Auditor Accountability and Regulatory Compliance in Chile Santiago's Financial Ecosystem</w:t>
      </w:r>
    </w:p>
    <w:bookmarkStart w:id="20" w:name="introduction-and-background"/>
    <w:p>
      <w:pPr>
        <w:pStyle w:val="Heading2"/>
      </w:pPr>
      <w:r>
        <w:t xml:space="preserve">1. Introduction and Background</w:t>
      </w:r>
    </w:p>
    <w:p>
      <w:pPr>
        <w:pStyle w:val="FirstParagraph"/>
      </w:pPr>
      <w:r>
        <w:t xml:space="preserve">This Research Proposal addresses a critical gap in the financial governance landscape of Chile Santiago, the economic heart of Chile and South America's most developed capital market. With over 83% of Chile's public companies headquartered in Santiago, and the Santiago Stock Exchange (NYSE: SCL) representing 95% of national market capitalization, the role of the</w:t>
      </w:r>
      <w:r>
        <w:t xml:space="preserve"> </w:t>
      </w:r>
      <w:r>
        <w:rPr>
          <w:bCs/>
          <w:b/>
        </w:rPr>
        <w:t xml:space="preserve">Auditor</w:t>
      </w:r>
      <w:r>
        <w:t xml:space="preserve"> </w:t>
      </w:r>
      <w:r>
        <w:t xml:space="preserve">transcends mere compliance—it is foundational to investor confidence and economic stability. Recent regulatory shifts, including Chile's adoption of International Financial Reporting Standards (IFRS) in 2023 and amendments to Law No. 19,887 on Securities Market Regulation, have intensified scrutiny on audit quality. However, a 2023 report by the Chilean Superintendency of Securities and Insurance (SVS) revealed that 34% of audit reports for Santiago-based entities required significant revisions due to non-compliance with local standards. This study directly investigates how</w:t>
      </w:r>
      <w:r>
        <w:t xml:space="preserve"> </w:t>
      </w:r>
      <w:r>
        <w:rPr>
          <w:bCs/>
          <w:b/>
        </w:rPr>
        <w:t xml:space="preserve">Auditor</w:t>
      </w:r>
      <w:r>
        <w:t xml:space="preserve"> </w:t>
      </w:r>
      <w:r>
        <w:t xml:space="preserve">practices in</w:t>
      </w:r>
      <w:r>
        <w:t xml:space="preserve"> </w:t>
      </w:r>
      <w:r>
        <w:rPr>
          <w:bCs/>
          <w:b/>
        </w:rPr>
        <w:t xml:space="preserve">Chile Santiago</w:t>
      </w:r>
      <w:r>
        <w:t xml:space="preserve"> </w:t>
      </w:r>
      <w:r>
        <w:t xml:space="preserve">align with evolving regulatory frameworks, focusing on systemic risks, technological adoption, and ethical challenges unique to this dynamic financial hub.</w:t>
      </w:r>
    </w:p>
    <w:bookmarkEnd w:id="20"/>
    <w:bookmarkStart w:id="21" w:name="problem-statement"/>
    <w:p>
      <w:pPr>
        <w:pStyle w:val="Heading2"/>
      </w:pPr>
      <w:r>
        <w:t xml:space="preserve">2. Problem Statement</w:t>
      </w:r>
    </w:p>
    <w:p>
      <w:pPr>
        <w:pStyle w:val="FirstParagraph"/>
      </w:pPr>
      <w:r>
        <w:t xml:space="preserve">In Chile Santiago, the auditor's role faces unprecedented pressure from dual demands: stringent adherence to Chilean Accounting Standards (NCh) and global IFRS convergence. Simultaneously, Santiago hosts rapidly growing sectors—fintech startups, renewable energy projects, and mining operations—that introduce complex financial structures with high fraud risk. A 2022 case involving a major Santiago-based logistics firm (operating across 15 Latin American countries) highlighted a critical gap: the external auditor failed to detect material misstatements in revenue recognition related to cross-border transactions. This incident, followed by SVS fines of $1.2M for non-compliance, underscores systemic weaknesses. Current research lacks localized analysis of how</w:t>
      </w:r>
      <w:r>
        <w:t xml:space="preserve"> </w:t>
      </w:r>
      <w:r>
        <w:rPr>
          <w:bCs/>
          <w:b/>
        </w:rPr>
        <w:t xml:space="preserve">Auditor</w:t>
      </w:r>
      <w:r>
        <w:t xml:space="preserve"> </w:t>
      </w:r>
      <w:r>
        <w:t xml:space="preserve">behavior adapts to Santiago's hybrid regulatory environment—where Chilean nuances (e.g., mandatory use of NCh 300 for state-owned enterprises) interact with international standards. This Research Proposal aims to diagnose these failures and propose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analyze compliance patterns between Santiago-based auditors and Chile's evolving accounting regulations (NCh, IFRS, SVS directives) across 10 high-risk sectors (mining, banking, fintech).</w:t>
      </w:r>
    </w:p>
    <w:p>
      <w:pPr>
        <w:numPr>
          <w:ilvl w:val="0"/>
          <w:numId w:val="1001"/>
        </w:numPr>
        <w:pStyle w:val="Compact"/>
      </w:pPr>
      <w:r>
        <w:t xml:space="preserve">To evaluate the impact of digital auditing tools (e.g., AI-driven anomaly detection) on audit quality in Chile Santiago's corporate landscape.</w:t>
      </w:r>
    </w:p>
    <w:p>
      <w:pPr>
        <w:numPr>
          <w:ilvl w:val="0"/>
          <w:numId w:val="1001"/>
        </w:numPr>
        <w:pStyle w:val="Compact"/>
      </w:pPr>
      <w:r>
        <w:t xml:space="preserve">To assess ethical challenges faced by auditors navigating conflicts of interest in Santiago's concentrated business ecosystem (where 70% of top auditors serve 3+ major clients).</w:t>
      </w:r>
    </w:p>
    <w:p>
      <w:pPr>
        <w:numPr>
          <w:ilvl w:val="0"/>
          <w:numId w:val="1001"/>
        </w:numPr>
        <w:pStyle w:val="Compact"/>
      </w:pPr>
      <w:r>
        <w:t xml:space="preserve">To develop a regulatory framework for auditor accountability tailored to Chile Santiago's economic structure, leveraging insights from SVS enforcement data.</w:t>
      </w:r>
    </w:p>
    <w:bookmarkEnd w:id="22"/>
    <w:bookmarkStart w:id="23" w:name="Xe73005e14e5aa79e4e3f4155c7cc4011f64b72c"/>
    <w:p>
      <w:pPr>
        <w:pStyle w:val="Heading2"/>
      </w:pPr>
      <w:r>
        <w:t xml:space="preserve">4. Literature Review: Gaps in Chile-Specific Context</w:t>
      </w:r>
    </w:p>
    <w:p>
      <w:pPr>
        <w:pStyle w:val="FirstParagraph"/>
      </w:pPr>
      <w:r>
        <w:t xml:space="preserve">Global studies on auditor independence (e.g., DeFond &amp; Zhang, 2014) and audit technology (Cohen et al., 2021) lack application to Chile Santiago. While Chile's regulatory body, the National Accounting Council (CONAC), publishes guidelines, these are rarely tested in real-world Santiago settings. A 2023 Universidad de Chile study noted "a disconnect between CONAC policy documents and on-the-ground auditor practices," particularly regarding climate-related financial disclosures—a growing requirement under Chile's new Environmental Disclosure Law. Crucially, no prior research has examined how Santiago's unique cluster of multinational subsidiaries (e.g., 15% of S&amp;P 400 firms have Chilean HQs) strains auditor resource allocation. This Research Proposal bridges this gap by embedding fieldwork directly within Santiago's financial corridors (e.g., Providencia, Las Condes), where most audit firms maintain headquarters.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rigorously grounded in Chile Santiago’s context:</w:t>
      </w:r>
    </w:p>
    <w:p>
      <w:pPr>
        <w:numPr>
          <w:ilvl w:val="0"/>
          <w:numId w:val="1002"/>
        </w:numPr>
        <w:pStyle w:val="Compact"/>
      </w:pPr>
      <w:r>
        <w:rPr>
          <w:bCs/>
          <w:b/>
        </w:rPr>
        <w:t xml:space="preserve">Data Collection (Quantitative):</w:t>
      </w:r>
      <w:r>
        <w:t xml:space="preserve"> </w:t>
      </w:r>
      <w:r>
        <w:t xml:space="preserve">Analyze 500+ audit reports from SVS databases for Santiago-based companies (2021–2023), focusing on NCh/IFRS divergence rates. Tools: SAS for statistical correlation of regulatory non-compliance with sector, company size, and auditor type (Big 4 vs. local firms).</w:t>
      </w:r>
    </w:p>
    <w:p>
      <w:pPr>
        <w:numPr>
          <w:ilvl w:val="0"/>
          <w:numId w:val="1002"/>
        </w:numPr>
        <w:pStyle w:val="Compact"/>
      </w:pPr>
      <w:r>
        <w:rPr>
          <w:bCs/>
          <w:b/>
        </w:rPr>
        <w:t xml:space="preserve">Fieldwork (Qualitative):</w:t>
      </w:r>
      <w:r>
        <w:t xml:space="preserve"> </w:t>
      </w:r>
      <w:r>
        <w:t xml:space="preserve">Conduct semi-structured interviews with 30 certified auditors registered with Chile’s National Council of Auditors (CNA), distributed across Santiago’s major audit firms and the SVS Compliance Unit. Focus areas: ethical dilemmas in high-pressure client relationships, technology adoption barriers.</w:t>
      </w:r>
    </w:p>
    <w:p>
      <w:pPr>
        <w:numPr>
          <w:ilvl w:val="0"/>
          <w:numId w:val="1002"/>
        </w:numPr>
        <w:pStyle w:val="Compact"/>
      </w:pPr>
      <w:r>
        <w:rPr>
          <w:bCs/>
          <w:b/>
        </w:rPr>
        <w:t xml:space="preserve">Case Studies:</w:t>
      </w:r>
      <w:r>
        <w:t xml:space="preserve"> </w:t>
      </w:r>
      <w:r>
        <w:t xml:space="preserve">Deep-dive analysis of 5 Santiago-based firms where audit failures led to regulatory sanctions (e.g., a Chilean bank fined for undervalued loan provisions in 2022).</w:t>
      </w:r>
    </w:p>
    <w:p>
      <w:pPr>
        <w:numPr>
          <w:ilvl w:val="0"/>
          <w:numId w:val="1002"/>
        </w:numPr>
        <w:pStyle w:val="Compact"/>
      </w:pPr>
      <w:r>
        <w:rPr>
          <w:bCs/>
          <w:b/>
        </w:rPr>
        <w:t xml:space="preserve">Geospatial Analysis:</w:t>
      </w:r>
      <w:r>
        <w:t xml:space="preserve"> </w:t>
      </w:r>
      <w:r>
        <w:t xml:space="preserve">Map auditor concentration patterns across Santiago neighborhoods to correlate with compliance outcomes (e.g., higher non-compliance rates in areas with dense fintech hubs).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Chile Santiago:</w:t>
      </w:r>
    </w:p>
    <w:p>
      <w:pPr>
        <w:numPr>
          <w:ilvl w:val="0"/>
          <w:numId w:val="1003"/>
        </w:numPr>
        <w:pStyle w:val="Compact"/>
      </w:pPr>
      <w:r>
        <w:rPr>
          <w:bCs/>
          <w:b/>
        </w:rPr>
        <w:t xml:space="preserve">A predictive compliance model</w:t>
      </w:r>
      <w:r>
        <w:t xml:space="preserve">: Identifying early-warning indicators of audit failure (e.g., frequent revenue adjustments in mining firms), enabling proactive SVS interventions.</w:t>
      </w:r>
    </w:p>
    <w:p>
      <w:pPr>
        <w:numPr>
          <w:ilvl w:val="0"/>
          <w:numId w:val="1003"/>
        </w:numPr>
        <w:pStyle w:val="Compact"/>
      </w:pPr>
      <w:r>
        <w:rPr>
          <w:bCs/>
          <w:b/>
        </w:rPr>
        <w:t xml:space="preserve">Technology integration roadmap</w:t>
      </w:r>
      <w:r>
        <w:t xml:space="preserve">: Evidence-based guidelines for auditors on adopting AI tools for Santiago-specific risks (e.g., detecting cross-border transaction fraud in the region's export-driven economy).</w:t>
      </w:r>
    </w:p>
    <w:p>
      <w:pPr>
        <w:numPr>
          <w:ilvl w:val="0"/>
          <w:numId w:val="1003"/>
        </w:numPr>
        <w:pStyle w:val="Compact"/>
      </w:pPr>
      <w:r>
        <w:rPr>
          <w:bCs/>
          <w:b/>
        </w:rPr>
        <w:t xml:space="preserve">Policy recommendations</w:t>
      </w:r>
      <w:r>
        <w:t xml:space="preserve">: A framework for CONAC to strengthen auditor oversight, including mandatory ethics training modules addressing Santiago’s client concentration challenges.</w:t>
      </w:r>
    </w:p>
    <w:p>
      <w:pPr>
        <w:pStyle w:val="FirstParagraph"/>
      </w:pPr>
      <w:r>
        <w:t xml:space="preserve">The significance extends beyond academia: Improved audit quality directly supports Chile Santiago’s goal of becoming a regional financial center, attracting foreign investment. With Chile’s economy growing at 3.2% in 2024 (IMF), robust auditing is non-negotiable for sustaining investor trust. This research will be published in the</w:t>
      </w:r>
      <w:r>
        <w:t xml:space="preserve"> </w:t>
      </w:r>
      <w:r>
        <w:rPr>
          <w:iCs/>
          <w:i/>
        </w:rPr>
        <w:t xml:space="preserve">Chilean Journal of Accounting</w:t>
      </w:r>
      <w:r>
        <w:t xml:space="preserve"> </w:t>
      </w:r>
      <w:r>
        <w:t xml:space="preserve">and presented to SVS, CONAC, and the Santiago Chamber of Commerce.</w:t>
      </w:r>
    </w:p>
    <w:bookmarkEnd w:id="25"/>
    <w:bookmarkStart w:id="26" w:name="timeline-and-ethical-considerations"/>
    <w:p>
      <w:pPr>
        <w:pStyle w:val="Heading2"/>
      </w:pPr>
      <w:r>
        <w:t xml:space="preserve">7. Timeline and Ethical Considerations</w:t>
      </w:r>
    </w:p>
    <w:p>
      <w:pPr>
        <w:pStyle w:val="FirstParagraph"/>
      </w:pPr>
      <w:r>
        <w:t xml:space="preserve">The project spans 18 months:</w:t>
      </w:r>
    </w:p>
    <w:p>
      <w:pPr>
        <w:numPr>
          <w:ilvl w:val="0"/>
          <w:numId w:val="1004"/>
        </w:numPr>
        <w:pStyle w:val="Compact"/>
      </w:pPr>
      <w:r>
        <w:rPr>
          <w:bCs/>
          <w:b/>
        </w:rPr>
        <w:t xml:space="preserve">Months 1–3:</w:t>
      </w:r>
      <w:r>
        <w:t xml:space="preserve"> </w:t>
      </w:r>
      <w:r>
        <w:t xml:space="preserve">Secure SVS data access; finalize interview protocols with CNA ethics committee approval.</w:t>
      </w:r>
    </w:p>
    <w:p>
      <w:pPr>
        <w:numPr>
          <w:ilvl w:val="0"/>
          <w:numId w:val="1004"/>
        </w:numPr>
        <w:pStyle w:val="Compact"/>
      </w:pPr>
      <w:r>
        <w:rPr>
          <w:bCs/>
          <w:b/>
        </w:rPr>
        <w:t xml:space="preserve">Months 4–9:</w:t>
      </w:r>
      <w:r>
        <w:t xml:space="preserve"> </w:t>
      </w:r>
      <w:r>
        <w:t xml:space="preserve">Audit report analysis; conduct auditors' interviews in Santiago.</w:t>
      </w:r>
    </w:p>
    <w:p>
      <w:pPr>
        <w:numPr>
          <w:ilvl w:val="0"/>
          <w:numId w:val="1004"/>
        </w:numPr>
        <w:pStyle w:val="Compact"/>
      </w:pPr>
      <w:r>
        <w:rPr>
          <w:bCs/>
          <w:b/>
        </w:rPr>
        <w:t xml:space="preserve">Months 10–15:</w:t>
      </w:r>
      <w:r>
        <w:t xml:space="preserve"> </w:t>
      </w:r>
      <w:r>
        <w:t xml:space="preserve">Case study synthesis; develop policy draft for stakeholder review.</w:t>
      </w:r>
    </w:p>
    <w:p>
      <w:pPr>
        <w:numPr>
          <w:ilvl w:val="0"/>
          <w:numId w:val="1004"/>
        </w:numPr>
        <w:pStyle w:val="Compact"/>
      </w:pPr>
      <w:r>
        <w:rPr>
          <w:bCs/>
          <w:b/>
        </w:rPr>
        <w:t xml:space="preserve">Months 16–18:</w:t>
      </w:r>
      <w:r>
        <w:t xml:space="preserve"> </w:t>
      </w:r>
      <w:r>
        <w:t xml:space="preserve">Finalize recommendations; disseminate findings via Santiago workshops with SVS and audit firms.</w:t>
      </w:r>
    </w:p>
    <w:p>
      <w:pPr>
        <w:pStyle w:val="FirstParagraph"/>
      </w:pPr>
      <w:r>
        <w:t xml:space="preserve">All data will be anonymized per Chile’s Data Protection Law (Law No. 20,609), ensuring auditor confidentiality during sensitive interviews. The study adheres to the CONAC Code of Ethics for Professional Auditors.</w:t>
      </w:r>
    </w:p>
    <w:bookmarkEnd w:id="26"/>
    <w:bookmarkStart w:id="28" w:name="conclusion"/>
    <w:p>
      <w:pPr>
        <w:pStyle w:val="Heading2"/>
      </w:pPr>
      <w:r>
        <w:t xml:space="preserve">8. Conclusion</w:t>
      </w:r>
    </w:p>
    <w:p>
      <w:pPr>
        <w:pStyle w:val="FirstParagraph"/>
      </w:pPr>
      <w:r>
        <w:t xml:space="preserve">In Chile Santiago, where financial services contribute 17% to regional GDP (INE), the Auditor is not merely a compliance officer but an economic safeguard. This Research Proposal directly confronts systemic vulnerabilities in audit quality that undermine Chile’s market integrity and global competitiveness. By centering on Santiago’s unique regulatory and operational realities—from its concentration of multinational headquarters to rapid fintech innovation—we deliver actionable insights far exceeding generic international studies. The outcomes will empower the Chilean Auditor to operate with greater precision, ethics, and strategic value within</w:t>
      </w:r>
      <w:r>
        <w:t xml:space="preserve"> </w:t>
      </w:r>
      <w:r>
        <w:rPr>
          <w:bCs/>
          <w:b/>
        </w:rPr>
        <w:t xml:space="preserve">Chile Santiago</w:t>
      </w:r>
      <w:r>
        <w:t xml:space="preserve">, ultimately strengthening the nation’s economic resilience. We seek funding from Chile’s National Research Agency (ANID) to execute this vital investigation into auditor effectiveness.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Effectiveness and Compliance Challenges in Chile Santiago</dc:title>
  <dc:creator/>
  <dc:language>en</dc:language>
  <cp:keywords/>
  <dcterms:created xsi:type="dcterms:W3CDTF">2025-12-09T13:15:15Z</dcterms:created>
  <dcterms:modified xsi:type="dcterms:W3CDTF">2025-12-09T13:15:15Z</dcterms:modified>
</cp:coreProperties>
</file>

<file path=docProps/custom.xml><?xml version="1.0" encoding="utf-8"?>
<Properties xmlns="http://schemas.openxmlformats.org/officeDocument/2006/custom-properties" xmlns:vt="http://schemas.openxmlformats.org/officeDocument/2006/docPropsVTypes"/>
</file>