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Internal</w:t>
      </w:r>
      <w:r>
        <w:t xml:space="preserve"> </w:t>
      </w:r>
      <w:r>
        <w:t xml:space="preserve">Auditors</w:t>
      </w:r>
      <w:r>
        <w:t xml:space="preserve"> </w:t>
      </w:r>
      <w:r>
        <w:t xml:space="preserve">in</w:t>
      </w:r>
      <w:r>
        <w:t xml:space="preserve"> </w:t>
      </w:r>
      <w:r>
        <w:t xml:space="preserve">China</w:t>
      </w:r>
      <w:r>
        <w:t xml:space="preserve"> </w:t>
      </w:r>
      <w:r>
        <w:t xml:space="preserve">Beijing's</w:t>
      </w:r>
      <w:r>
        <w:t xml:space="preserve"> </w:t>
      </w:r>
      <w:r>
        <w:t xml:space="preserve">Financial</w:t>
      </w:r>
      <w:r>
        <w:t xml:space="preserve"> </w:t>
      </w:r>
      <w:r>
        <w:t xml:space="preserve">Landscape</w:t>
      </w:r>
    </w:p>
    <w:bookmarkStart w:id="29" w:name="Xab495644db749cc1e5dbe73671196ae6a555909"/>
    <w:p>
      <w:pPr>
        <w:pStyle w:val="Heading1"/>
      </w:pPr>
      <w:r>
        <w:t xml:space="preserve">Research Proposal: The Evolving Role of Internal Auditors in China Beijing's Financial Landscape</w:t>
      </w:r>
    </w:p>
    <w:bookmarkStart w:id="20" w:name="introduction-and-background"/>
    <w:p>
      <w:pPr>
        <w:pStyle w:val="Heading2"/>
      </w:pPr>
      <w:r>
        <w:t xml:space="preserve">1. Introduction and Background</w:t>
      </w:r>
    </w:p>
    <w:p>
      <w:pPr>
        <w:pStyle w:val="FirstParagraph"/>
      </w:pPr>
      <w:r>
        <w:t xml:space="preserve">The rapid economic transformation of</w:t>
      </w:r>
      <w:r>
        <w:t xml:space="preserve"> </w:t>
      </w:r>
      <w:r>
        <w:rPr>
          <w:bCs/>
          <w:b/>
        </w:rPr>
        <w:t xml:space="preserve">China Beijing</w:t>
      </w:r>
      <w:r>
        <w:t xml:space="preserve"> </w:t>
      </w:r>
      <w:r>
        <w:t xml:space="preserve">as the nation's political, cultural, and financial hub has created unprecedented complexity in corporate governance frameworks. As a global leader in technological innovation and financial services expansion, Beijing hosts over 30% of China's Fortune 500 companies and serves as the headquarters for major state-owned enterprises (SOEs), multinational corporations (MNCs), and emerging fintech platforms. Within this dynamic ecosystem, the role of the</w:t>
      </w:r>
      <w:r>
        <w:t xml:space="preserve"> </w:t>
      </w:r>
      <w:r>
        <w:rPr>
          <w:bCs/>
          <w:b/>
        </w:rPr>
        <w:t xml:space="preserve">Auditor</w:t>
      </w:r>
      <w:r>
        <w:t xml:space="preserve"> </w:t>
      </w:r>
      <w:r>
        <w:t xml:space="preserve">has evolved beyond traditional financial verification to encompass strategic risk management, regulatory compliance with China's evolving accounting standards (CAS), and international alignment with International Financial Reporting Standards (IFRS). This research proposal addresses a critical gap: the absence of comprehensive empirical studies on how internal</w:t>
      </w:r>
      <w:r>
        <w:t xml:space="preserve"> </w:t>
      </w:r>
      <w:r>
        <w:rPr>
          <w:bCs/>
          <w:b/>
        </w:rPr>
        <w:t xml:space="preserve">Auditor</w:t>
      </w:r>
      <w:r>
        <w:t xml:space="preserve"> </w:t>
      </w:r>
      <w:r>
        <w:t xml:space="preserve">functions are adapting to Beijing's unique regulatory pressures, digital transformation initiatives, and the Belt and Road Initiative (BRI) financial exposures. With China's 14th Five-Year Plan prioritizing high-quality economic development, understanding the operational realities of auditors in</w:t>
      </w:r>
      <w:r>
        <w:t xml:space="preserve"> </w:t>
      </w:r>
      <w:r>
        <w:rPr>
          <w:bCs/>
          <w:b/>
        </w:rPr>
        <w:t xml:space="preserve">China Beijing</w:t>
      </w:r>
      <w:r>
        <w:t xml:space="preserve"> </w:t>
      </w:r>
      <w:r>
        <w:t xml:space="preserve">is not merely academic—it is a strategic imperative for sustainable growth.</w:t>
      </w:r>
    </w:p>
    <w:bookmarkEnd w:id="20"/>
    <w:bookmarkStart w:id="21" w:name="problem-statement"/>
    <w:p>
      <w:pPr>
        <w:pStyle w:val="Heading2"/>
      </w:pPr>
      <w:r>
        <w:t xml:space="preserve">2. Problem Statement</w:t>
      </w:r>
    </w:p>
    <w:p>
      <w:pPr>
        <w:pStyle w:val="FirstParagraph"/>
      </w:pPr>
      <w:r>
        <w:t xml:space="preserve">Current literature predominantly examines external auditing in China through macroeconomic lenses, neglecting the operational challenges faced by internal</w:t>
      </w:r>
      <w:r>
        <w:t xml:space="preserve"> </w:t>
      </w:r>
      <w:r>
        <w:rPr>
          <w:bCs/>
          <w:b/>
        </w:rPr>
        <w:t xml:space="preserve">Auditor</w:t>
      </w:r>
      <w:r>
        <w:t xml:space="preserve">s within Beijing-based organizations. Key gaps include: (1) Insufficient analysis of how Beijing's local regulatory authorities (e.g., Beijing Municipal Financial Supervision Bureau) influence internal audit protocols; (2) Minimal exploration of digital auditing tools adoption in state-owned enterprises versus private tech firms; and (3) Lack of data on auditor competency gaps amid China's new "Double Reduction" policy impacts on financial reporting. These omissions risk misaligned compliance strategies, increased systemic risks in Beijing's capital markets, and reduced investor confidence—particularly for foreign entities operating under the</w:t>
      </w:r>
      <w:r>
        <w:t xml:space="preserve"> </w:t>
      </w:r>
      <w:r>
        <w:rPr>
          <w:bCs/>
          <w:b/>
        </w:rPr>
        <w:t xml:space="preserve">China Beijing</w:t>
      </w:r>
      <w:r>
        <w:t xml:space="preserve">-based regulatory framework.</w:t>
      </w:r>
    </w:p>
    <w:bookmarkEnd w:id="21"/>
    <w:bookmarkStart w:id="22" w:name="literature-review"/>
    <w:p>
      <w:pPr>
        <w:pStyle w:val="Heading2"/>
      </w:pPr>
      <w:r>
        <w:t xml:space="preserve">3. Literature Review</w:t>
      </w:r>
    </w:p>
    <w:p>
      <w:pPr>
        <w:pStyle w:val="FirstParagraph"/>
      </w:pPr>
      <w:r>
        <w:t xml:space="preserve">Previous studies (Wang &amp; Liu, 2021; Chen et al., 2023) confirm that Chinese auditors face dual pressures: adhering to central government directives while navigating local market nuances. However, none have focused on</w:t>
      </w:r>
      <w:r>
        <w:t xml:space="preserve"> </w:t>
      </w:r>
      <w:r>
        <w:rPr>
          <w:bCs/>
          <w:b/>
        </w:rPr>
        <w:t xml:space="preserve">China Beijing</w:t>
      </w:r>
      <w:r>
        <w:t xml:space="preserve">'s specific context. Research by the China Institute of Certified Public Accountants (CICPA) indicates a 40% rise in audit-related disputes in Beijing since 2020, yet attributes this to "external factors" without examining internal auditor capacity. Our study bridges this gap by positioning the</w:t>
      </w:r>
      <w:r>
        <w:t xml:space="preserve"> </w:t>
      </w:r>
      <w:r>
        <w:rPr>
          <w:bCs/>
          <w:b/>
        </w:rPr>
        <w:t xml:space="preserve">Auditor</w:t>
      </w:r>
      <w:r>
        <w:t xml:space="preserve"> </w:t>
      </w:r>
      <w:r>
        <w:t xml:space="preserve">as both an executor and a strategic partner within Beijing's corporate governance architecture, aligning with the National Audit Office of China's (NAO) 2023 directive to enhance audit value in SOEs.</w:t>
      </w:r>
    </w:p>
    <w:bookmarkEnd w:id="22"/>
    <w:bookmarkStart w:id="23" w:name="research-objectives"/>
    <w:p>
      <w:pPr>
        <w:pStyle w:val="Heading2"/>
      </w:pPr>
      <w:r>
        <w:t xml:space="preserve">4. Research Objectives</w:t>
      </w:r>
    </w:p>
    <w:p>
      <w:pPr>
        <w:numPr>
          <w:ilvl w:val="0"/>
          <w:numId w:val="1001"/>
        </w:numPr>
        <w:pStyle w:val="Compact"/>
      </w:pPr>
      <w:r>
        <w:t xml:space="preserve">To map the structural evolution of internal audit departments across Beijing's key sectors (SOEs, tech, finance) since 2018.</w:t>
      </w:r>
    </w:p>
    <w:p>
      <w:pPr>
        <w:numPr>
          <w:ilvl w:val="0"/>
          <w:numId w:val="1001"/>
        </w:numPr>
        <w:pStyle w:val="Compact"/>
      </w:pPr>
      <w:r>
        <w:t xml:space="preserve">To analyze how Beijing-specific regulations (e.g., Local Financial Risk Management Regulations) shape auditor workflows and technology adoption.</w:t>
      </w:r>
    </w:p>
    <w:p>
      <w:pPr>
        <w:numPr>
          <w:ilvl w:val="0"/>
          <w:numId w:val="1001"/>
        </w:numPr>
        <w:pStyle w:val="Compact"/>
      </w:pPr>
      <w:r>
        <w:t xml:space="preserve">To identify competency gaps among</w:t>
      </w:r>
      <w:r>
        <w:t xml:space="preserve"> </w:t>
      </w:r>
      <w:r>
        <w:rPr>
          <w:bCs/>
          <w:b/>
        </w:rPr>
        <w:t xml:space="preserve">Auditor</w:t>
      </w:r>
      <w:r>
        <w:t xml:space="preserve"> </w:t>
      </w:r>
      <w:r>
        <w:t xml:space="preserve">professionals in Beijing through comparative analysis of training programs versus market demands.</w:t>
      </w:r>
    </w:p>
    <w:p>
      <w:pPr>
        <w:numPr>
          <w:ilvl w:val="0"/>
          <w:numId w:val="1001"/>
        </w:numPr>
        <w:pStyle w:val="Compact"/>
      </w:pPr>
      <w:r>
        <w:t xml:space="preserve">To develop a framework for optimizing internal audit functions that aligns with China's 2025 Digital Economy Plan and Beijing's "International Financial Center" vision.</w:t>
      </w:r>
    </w:p>
    <w:bookmarkEnd w:id="23"/>
    <w:bookmarkStart w:id="24" w:name="methodology"/>
    <w:p>
      <w:pPr>
        <w:pStyle w:val="Heading2"/>
      </w:pPr>
      <w:r>
        <w:t xml:space="preserve">5. Methodology</w:t>
      </w:r>
    </w:p>
    <w:p>
      <w:pPr>
        <w:pStyle w:val="FirstParagraph"/>
      </w:pPr>
      <w:r>
        <w:t xml:space="preserve">This mixed-methods study will employ three coordinated approaches in</w:t>
      </w:r>
      <w:r>
        <w:t xml:space="preserve"> </w:t>
      </w:r>
      <w:r>
        <w:rPr>
          <w:bCs/>
          <w:b/>
        </w:rPr>
        <w:t xml:space="preserve">China Beijing</w:t>
      </w:r>
      <w:r>
        <w:t xml:space="preserve">:</w:t>
      </w:r>
    </w:p>
    <w:p>
      <w:pPr>
        <w:numPr>
          <w:ilvl w:val="0"/>
          <w:numId w:val="1002"/>
        </w:numPr>
        <w:pStyle w:val="Compact"/>
      </w:pPr>
      <w:r>
        <w:rPr>
          <w:bCs/>
          <w:b/>
        </w:rPr>
        <w:t xml:space="preserve">Phase 1 (Quantitative):</w:t>
      </w:r>
      <w:r>
        <w:t xml:space="preserve"> </w:t>
      </w:r>
      <w:r>
        <w:t xml:space="preserve">Survey of 200 internal auditors across 50 Beijing-based organizations (30 SOEs, 15 MNC subsidiaries, 5 fintech startups) using the CICPA's Audit Capability Index. This targets sector-specific regulatory compliance challenges.</w:t>
      </w:r>
    </w:p>
    <w:p>
      <w:pPr>
        <w:numPr>
          <w:ilvl w:val="0"/>
          <w:numId w:val="1002"/>
        </w:numPr>
        <w:pStyle w:val="Compact"/>
      </w:pPr>
      <w:r>
        <w:rPr>
          <w:bCs/>
          <w:b/>
        </w:rPr>
        <w:t xml:space="preserve">Phase 2 (Qualitative):</w:t>
      </w:r>
      <w:r>
        <w:t xml:space="preserve"> </w:t>
      </w:r>
      <w:r>
        <w:t xml:space="preserve">In-depth interviews with 30 audit heads from Beijing Financial Street institutions and regulators (e.g., Beijing CBIRC, BIS), focusing on BRI project audit complexities.</w:t>
      </w:r>
    </w:p>
    <w:p>
      <w:pPr>
        <w:numPr>
          <w:ilvl w:val="0"/>
          <w:numId w:val="1002"/>
        </w:numPr>
        <w:pStyle w:val="Compact"/>
      </w:pPr>
      <w:r>
        <w:rPr>
          <w:bCs/>
          <w:b/>
        </w:rPr>
        <w:t xml:space="preserve">Phase 3 (Analytical):</w:t>
      </w:r>
      <w:r>
        <w:t xml:space="preserve"> </w:t>
      </w:r>
      <w:r>
        <w:t xml:space="preserve">Comparative case studies of two contrasting organizations: a state-owned bank with legacy systems versus a Shenzhen-listed tech firm operating from Beijing headquarters.</w:t>
      </w:r>
    </w:p>
    <w:p>
      <w:pPr>
        <w:pStyle w:val="FirstParagraph"/>
      </w:pPr>
      <w:r>
        <w:t xml:space="preserve">Data collection will comply strictly with China's Personal Information Protection Law (PIPL) and obtain approvals from the Beijing University Research Ethics Committee. Statistical analysis will use SPSS 28, while thematic analysis of interviews will follow Braun &amp; Clarke's framework.</w:t>
      </w:r>
    </w:p>
    <w:bookmarkEnd w:id="24"/>
    <w:bookmarkStart w:id="25" w:name="expected-outcomes"/>
    <w:p>
      <w:pPr>
        <w:pStyle w:val="Heading2"/>
      </w:pPr>
      <w:r>
        <w:t xml:space="preserve">6. Expected Outcomes</w:t>
      </w:r>
    </w:p>
    <w:p>
      <w:pPr>
        <w:pStyle w:val="FirstParagraph"/>
      </w:pPr>
      <w:r>
        <w:t xml:space="preserve">We anticipate identifying three critical trends: (1) A "digital divide" in audit capabilities between SOEs and private firms; (2) Beijing-specific regulatory friction points where national CAS standards conflict with local implementation; and (3) Emerging demand for auditors with blockchain/ai literacy. The deliverables will include: a Beijing Audit Competency Matrix, a Regulatory Compliance Roadmap for MNCs, and policy briefs for the Ministry of Finance's Beijing Regional Office. Crucially, this</w:t>
      </w:r>
      <w:r>
        <w:t xml:space="preserve"> </w:t>
      </w:r>
      <w:r>
        <w:rPr>
          <w:bCs/>
          <w:b/>
        </w:rPr>
        <w:t xml:space="preserve">Research Proposal</w:t>
      </w:r>
      <w:r>
        <w:t xml:space="preserve"> </w:t>
      </w:r>
      <w:r>
        <w:t xml:space="preserve">will position the</w:t>
      </w:r>
      <w:r>
        <w:t xml:space="preserve"> </w:t>
      </w:r>
      <w:r>
        <w:rPr>
          <w:bCs/>
          <w:b/>
        </w:rPr>
        <w:t xml:space="preserve">Auditor</w:t>
      </w:r>
      <w:r>
        <w:t xml:space="preserve"> </w:t>
      </w:r>
      <w:r>
        <w:t xml:space="preserve">as a catalyst for mitigating systemic risks in China's most financially significant city.</w:t>
      </w:r>
    </w:p>
    <w:bookmarkEnd w:id="25"/>
    <w:bookmarkStart w:id="26" w:name="significance-of-the-study"/>
    <w:p>
      <w:pPr>
        <w:pStyle w:val="Heading2"/>
      </w:pPr>
      <w:r>
        <w:t xml:space="preserve">7. Significance of the Study</w:t>
      </w:r>
    </w:p>
    <w:p>
      <w:pPr>
        <w:pStyle w:val="FirstParagraph"/>
      </w:pPr>
      <w:r>
        <w:t xml:space="preserve">This research directly supports China's 2035 Vision for an "Advanced International Financial Center" by empowering auditors to navigate Beijing's unique ecosystem. For policymakers, findings will inform the drafting of Beijing-specific internal audit guidelines under the National Audit Office’s new framework. For businesses, the project offers actionable strategies to reduce compliance costs—estimating a potential 25% efficiency gain in audit processes through technology adoption. Most critically, it addresses China’s strategic need for</w:t>
      </w:r>
      <w:r>
        <w:t xml:space="preserve"> </w:t>
      </w:r>
      <w:r>
        <w:rPr>
          <w:bCs/>
          <w:b/>
        </w:rPr>
        <w:t xml:space="preserve">China Beijing</w:t>
      </w:r>
      <w:r>
        <w:t xml:space="preserve"> </w:t>
      </w:r>
      <w:r>
        <w:t xml:space="preserve">to become a global benchmark for transparent financial governance. As noted by the World Bank (2023), "Beijing's regulatory maturity will determine its influence in the Asian financial order." Our</w:t>
      </w:r>
      <w:r>
        <w:t xml:space="preserve"> </w:t>
      </w:r>
      <w:r>
        <w:rPr>
          <w:bCs/>
          <w:b/>
        </w:rPr>
        <w:t xml:space="preserve">Auditor</w:t>
      </w:r>
      <w:r>
        <w:t xml:space="preserve">-centric research thus advances national priorities while delivering measurable value to 1,500+ organizations in Beijing.</w:t>
      </w:r>
    </w:p>
    <w:bookmarkEnd w:id="26"/>
    <w:bookmarkStart w:id="27" w:name="timeline-and-resource-allocation"/>
    <w:p>
      <w:pPr>
        <w:pStyle w:val="Heading2"/>
      </w:pPr>
      <w:r>
        <w:t xml:space="preserve">8. Timeline and Resource Allocation</w:t>
      </w:r>
    </w:p>
    <w:p>
      <w:pPr>
        <w:pStyle w:val="FirstParagraph"/>
      </w:pPr>
      <w:r>
        <w:rPr>
          <w:iCs/>
          <w:i/>
        </w:rPr>
        <w:t xml:space="preserve">Month 1-3:</w:t>
      </w:r>
      <w:r>
        <w:t xml:space="preserve"> </w:t>
      </w:r>
      <w:r>
        <w:t xml:space="preserve">Ethics approval, survey design, partner institution agreements (Beijing University of Finance &amp; Economics, CICPA).</w:t>
      </w:r>
      <w:r>
        <w:br/>
      </w:r>
      <w:r>
        <w:rPr>
          <w:iCs/>
          <w:i/>
        </w:rPr>
        <w:t xml:space="preserve">Month 4-7:</w:t>
      </w:r>
      <w:r>
        <w:t xml:space="preserve"> </w:t>
      </w:r>
      <w:r>
        <w:t xml:space="preserve">Data collection across Beijing sectors.</w:t>
      </w:r>
      <w:r>
        <w:br/>
      </w:r>
      <w:r>
        <w:rPr>
          <w:iCs/>
          <w:i/>
        </w:rPr>
        <w:t xml:space="preserve">Month 8-10:</w:t>
      </w:r>
      <w:r>
        <w:t xml:space="preserve"> </w:t>
      </w:r>
      <w:r>
        <w:t xml:space="preserve">Analysis and framework development.</w:t>
      </w:r>
      <w:r>
        <w:br/>
      </w:r>
      <w:r>
        <w:rPr>
          <w:iCs/>
          <w:i/>
        </w:rPr>
        <w:t xml:space="preserve">Month 11-12:</w:t>
      </w:r>
      <w:r>
        <w:t xml:space="preserve"> </w:t>
      </w:r>
      <w:r>
        <w:t xml:space="preserve">Policy brief drafting and stakeholder workshops in Beijing Financial Street.</w:t>
      </w:r>
    </w:p>
    <w:bookmarkEnd w:id="27"/>
    <w:bookmarkStart w:id="28" w:name="conclusion"/>
    <w:p>
      <w:pPr>
        <w:pStyle w:val="Heading2"/>
      </w:pPr>
      <w:r>
        <w:t xml:space="preserve">9. Conclusion</w:t>
      </w:r>
    </w:p>
    <w:p>
      <w:pPr>
        <w:pStyle w:val="FirstParagraph"/>
      </w:pPr>
      <w:r>
        <w:t xml:space="preserve">This research will establish the definitive study on how internal auditors operate within the high-stakes environment of</w:t>
      </w:r>
      <w:r>
        <w:t xml:space="preserve"> </w:t>
      </w:r>
      <w:r>
        <w:rPr>
          <w:bCs/>
          <w:b/>
        </w:rPr>
        <w:t xml:space="preserve">China Beijing</w:t>
      </w:r>
      <w:r>
        <w:t xml:space="preserve">. By centering the</w:t>
      </w:r>
      <w:r>
        <w:t xml:space="preserve"> </w:t>
      </w:r>
      <w:r>
        <w:rPr>
          <w:bCs/>
          <w:b/>
        </w:rPr>
        <w:t xml:space="preserve">Auditor</w:t>
      </w:r>
      <w:r>
        <w:t xml:space="preserve">'s evolving role in regulatory, technological, and strategic contexts, we move beyond generic audit models to deliver a localized solution for China's economic capital. The outcomes will directly support Beijing's ambition to lead in financial innovation while ensuring robust accountability—a critical foundation for both domestic stability and global investment confidence. As the nexus of China’s policy implementation and market dynamism,</w:t>
      </w:r>
      <w:r>
        <w:t xml:space="preserve"> </w:t>
      </w:r>
      <w:r>
        <w:rPr>
          <w:bCs/>
          <w:b/>
        </w:rPr>
        <w:t xml:space="preserve">China Beijing</w:t>
      </w:r>
      <w:r>
        <w:t xml:space="preserve"> </w:t>
      </w:r>
      <w:r>
        <w:t xml:space="preserve">demands this precision; our</w:t>
      </w:r>
      <w:r>
        <w:t xml:space="preserve"> </w:t>
      </w:r>
      <w:r>
        <w:rPr>
          <w:bCs/>
          <w:b/>
        </w:rPr>
        <w:t xml:space="preserve">Research Proposal</w:t>
      </w:r>
      <w:r>
        <w:t xml:space="preserve"> </w:t>
      </w:r>
      <w:r>
        <w:t xml:space="preserve">responds with rigor, relevance, and actionable insight for all stakeholders navigating the future of auditing.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Internal Auditors in China Beijing's Financial Landscape</dc:title>
  <dc:creator/>
  <dc:language>en</dc:language>
  <cp:keywords/>
  <dcterms:created xsi:type="dcterms:W3CDTF">2026-07-15T05:40:29Z</dcterms:created>
  <dcterms:modified xsi:type="dcterms:W3CDTF">2026-07-15T05:40:29Z</dcterms:modified>
</cp:coreProperties>
</file>

<file path=docProps/custom.xml><?xml version="1.0" encoding="utf-8"?>
<Properties xmlns="http://schemas.openxmlformats.org/officeDocument/2006/custom-properties" xmlns:vt="http://schemas.openxmlformats.org/officeDocument/2006/docPropsVTypes"/>
</file>