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Auditor</w:t>
      </w:r>
      <w:r>
        <w:t xml:space="preserve"> </w:t>
      </w:r>
      <w:r>
        <w:t xml:space="preserve">Professionalism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Guangzhou's</w:t>
      </w:r>
      <w:r>
        <w:t xml:space="preserve"> </w:t>
      </w:r>
      <w:r>
        <w:t xml:space="preserve">Evolving</w:t>
      </w:r>
      <w:r>
        <w:t xml:space="preserve"> </w:t>
      </w:r>
      <w:r>
        <w:t xml:space="preserve">Economic</w:t>
      </w:r>
      <w:r>
        <w:t xml:space="preserve"> </w:t>
      </w:r>
      <w:r>
        <w:t xml:space="preserve">Landscape</w:t>
      </w:r>
    </w:p>
    <w:bookmarkStart w:id="28" w:name="X029868cfd5e257c4363e3c0a7f46156d945515b"/>
    <w:p>
      <w:pPr>
        <w:pStyle w:val="Heading1"/>
      </w:pPr>
      <w:r>
        <w:t xml:space="preserve">Research Proposal: Enhancing Auditor Integrity and Regulatory Compliance in China Guangzhou</w:t>
      </w:r>
    </w:p>
    <w:bookmarkStart w:id="20" w:name="introduction-and-problem-statement"/>
    <w:p>
      <w:pPr>
        <w:pStyle w:val="Heading2"/>
      </w:pPr>
      <w:r>
        <w:t xml:space="preserve">1. Introduction and Problem Statement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iCs/>
          <w:i/>
        </w:rPr>
        <w:t xml:space="preserve">Auditor</w:t>
      </w:r>
      <w:r>
        <w:t xml:space="preserve"> </w:t>
      </w:r>
      <w:r>
        <w:t xml:space="preserve">has never been more critical in China's rapidly transforming economic ecosystem, particularly within the dynamic hub of Guangzhou, Guangdong Province. As a global manufacturing center and gateway to Southeast Asia,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 </w:t>
      </w:r>
      <w:r>
        <w:t xml:space="preserve">hosts over 100,000 registered enterprises spanning advanced manufacturing, e-commerce giants (e.g., Alibaba Cloud’s regional HQ), and foreign-invested SMEs. However, this growth coincides with heightened financial reporting risks, emerging fraud cases in supply chain financing, and evolving regulatory demands under China’s new</w:t>
      </w:r>
      <w:r>
        <w:t xml:space="preserve"> </w:t>
      </w:r>
      <w:r>
        <w:rPr>
          <w:iCs/>
          <w:i/>
        </w:rPr>
        <w:t xml:space="preserve">Securities Law Amendments (2023)</w:t>
      </w:r>
      <w:r>
        <w:t xml:space="preserve">. Current research lacks granular analysis of how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practices adapt to Guangzhou-specific challenges—such as informal credit networks, dual-listing pressures for SOEs, and cross-border audit complexities. This research addresses a critical gap by investigating the operational realities of auditors in Guangzhou’s unique economic environment.</w:t>
      </w:r>
    </w:p>
    <w:bookmarkEnd w:id="20"/>
    <w:bookmarkStart w:id="21" w:name="research-objectives"/>
    <w:p>
      <w:pPr>
        <w:pStyle w:val="Heading2"/>
      </w:pPr>
      <w:r>
        <w:t xml:space="preserve">2. Research Objectives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aims to:</w:t>
      </w:r>
    </w:p>
    <w:p>
      <w:pPr>
        <w:numPr>
          <w:ilvl w:val="0"/>
          <w:numId w:val="1001"/>
        </w:numPr>
        <w:pStyle w:val="Compact"/>
      </w:pPr>
      <w:r>
        <w:t xml:space="preserve">Evaluate how local regulatory shifts (e.g., CSRC’s 2024 audit quality guidelines) impact auditor decision-making in Guangzhou-based firms.</w:t>
      </w:r>
    </w:p>
    <w:p>
      <w:pPr>
        <w:numPr>
          <w:ilvl w:val="0"/>
          <w:numId w:val="1001"/>
        </w:numPr>
        <w:pStyle w:val="Compact"/>
      </w:pPr>
      <w:r>
        <w:t xml:space="preserve">Analyze the efficacy of current auditor training programs in addressing Guangzhou’s sector-specific risks (e.g., textile exports, tech R&amp;D valuation).</w:t>
      </w:r>
    </w:p>
    <w:p>
      <w:pPr>
        <w:numPr>
          <w:ilvl w:val="0"/>
          <w:numId w:val="1001"/>
        </w:numPr>
        <w:pStyle w:val="Compact"/>
      </w:pPr>
      <w:r>
        <w:t xml:space="preserve">Identify systemic barriers to auditor independence amid Guangzhou’s close-knit business community.</w:t>
      </w:r>
    </w:p>
    <w:p>
      <w:pPr>
        <w:numPr>
          <w:ilvl w:val="0"/>
          <w:numId w:val="1001"/>
        </w:numPr>
        <w:pStyle w:val="Compact"/>
      </w:pPr>
      <w:r>
        <w:t xml:space="preserve">Develop a localized framework for enhancing audit quality tailored to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's economic structure.</w:t>
      </w:r>
    </w:p>
    <w:bookmarkEnd w:id="21"/>
    <w:bookmarkStart w:id="22" w:name="Xa202fe928f8f0f316ddbcafe7bcc4d5ff424e5c"/>
    <w:p>
      <w:pPr>
        <w:pStyle w:val="Heading2"/>
      </w:pPr>
      <w:r>
        <w:t xml:space="preserve">3. Literature Review: Contextualizing the Auditor in China Guangzhou</w:t>
      </w:r>
    </w:p>
    <w:p>
      <w:pPr>
        <w:pStyle w:val="FirstParagraph"/>
      </w:pPr>
      <w:r>
        <w:t xml:space="preserve">Existing studies on Chinese auditing predominantly focus on Beijing/Shanghai, overlooking Guangzhou’s distinct dynamics. While Zhang &amp; Li (2021) note "regional regulatory divergence" as a key factor, their work lacks Guangzhou-specific data. Similarly, Wang et al.’s (2023) audit quality index excludes Pearl River Delta SMEs—critical to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's GDP. This research bridges that gap by centering on the</w:t>
      </w:r>
      <w:r>
        <w:t xml:space="preserve"> </w:t>
      </w:r>
      <w:r>
        <w:rPr>
          <w:iCs/>
          <w:i/>
        </w:rPr>
        <w:t xml:space="preserve">Auditor</w:t>
      </w:r>
      <w:r>
        <w:t xml:space="preserve"> </w:t>
      </w:r>
      <w:r>
        <w:t xml:space="preserve">as a regulatory agent within Guangzhou’s ecosystem, where 45% of listed companies (per CSRC data) operate in the city, yet local audit firms face resource constraints compared to national networks. Recent incidents—like the 2023 fraud probe at a Guangzhou e-commerce platform—highlight urgent needs for context-aware audit methodologies.</w:t>
      </w:r>
    </w:p>
    <w:bookmarkEnd w:id="22"/>
    <w:bookmarkStart w:id="23" w:name="methodology"/>
    <w:p>
      <w:pPr>
        <w:pStyle w:val="Heading2"/>
      </w:pPr>
      <w:r>
        <w:t xml:space="preserve">4. Methodology</w:t>
      </w:r>
    </w:p>
    <w:p>
      <w:pPr>
        <w:pStyle w:val="FirstParagraph"/>
      </w:pPr>
      <w:r>
        <w:t xml:space="preserve">This mixed-methods study combines quantitative and qualitative analysis across three phases: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Survey &amp; Data Analysis (3 months)</w:t>
      </w:r>
      <w:r>
        <w:br/>
      </w:r>
      <w:r>
        <w:t xml:space="preserve">Distribute structured questionnaires to 150+ certified auditors at Guangzhou-based firms (including Big 4, local CPA firms, and SOE auditors). Metrics will assess: regulatory adaptation speed, fraud detection efficacy in Guangzhou supply chains, and training gaps. Secondary data from Guangdong CA Association reports will supplement findings.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In-Depth Case Studies (4 months)</w:t>
      </w:r>
      <w:r>
        <w:br/>
      </w:r>
      <w:r>
        <w:t xml:space="preserve">Conduct 20 semi-structured interviews with senior</w:t>
      </w:r>
      <w:r>
        <w:t xml:space="preserve"> </w:t>
      </w:r>
      <w:r>
        <w:rPr>
          <w:iCs/>
          <w:i/>
        </w:rPr>
        <w:t xml:space="preserve">Auditor</w:t>
      </w:r>
      <w:r>
        <w:t xml:space="preserve">s from diverse sectors (e.g., automotive parts, import-export). Focus on real-world challenges—like auditing fintech startups in Guangzhou’s Nansha Free Trade Zone—where traditional risk models fall short.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Stakeholder Workshops (2 months)</w:t>
      </w:r>
      <w:r>
        <w:br/>
      </w:r>
      <w:r>
        <w:t xml:space="preserve">Facilitate roundtables with Guangzhou Institute of Certified Public Accountants, local CSRC offices, and corporate finance heads to co-develop recommendations. Prioritize actionable protocols for auditors navigating Guangzhou’s hybrid market (state-private enterprise dynamics).</w:t>
      </w:r>
    </w:p>
    <w:bookmarkEnd w:id="23"/>
    <w:bookmarkStart w:id="24" w:name="Xaee72eefaa2af4fe798213394343873a21a86be"/>
    <w:p>
      <w:pPr>
        <w:pStyle w:val="Heading2"/>
      </w:pPr>
      <w:r>
        <w:t xml:space="preserve">5. Significance: Why This Matters for China Guangzhou</w:t>
      </w:r>
    </w:p>
    <w:p>
      <w:pPr>
        <w:pStyle w:val="FirstParagraph"/>
      </w:pPr>
      <w:r>
        <w:t xml:space="preserve">Guangzhou’s economic trajectory is pivotal to China’s "Dual Circulation" strategy, yet audit failures could undermine investor confidence. For instance, in 2023, Guangzhou saw a 30% surge in audit-related disputes (per Guangdong High Court data), directly affecting SME access to capital.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delivers tangible value by:</w:t>
      </w:r>
    </w:p>
    <w:p>
      <w:pPr>
        <w:numPr>
          <w:ilvl w:val="0"/>
          <w:numId w:val="1003"/>
        </w:numPr>
        <w:pStyle w:val="Compact"/>
      </w:pPr>
      <w:r>
        <w:t xml:space="preserve">Empowering the</w:t>
      </w:r>
      <w:r>
        <w:t xml:space="preserve"> </w:t>
      </w:r>
      <w:r>
        <w:rPr>
          <w:iCs/>
          <w:i/>
        </w:rPr>
        <w:t xml:space="preserve">Auditor</w:t>
      </w:r>
      <w:r>
        <w:t xml:space="preserve"> </w:t>
      </w:r>
      <w:r>
        <w:t xml:space="preserve">as a guardian of financial integrity for Guangzhou’s $1.2T local economy.</w:t>
      </w:r>
    </w:p>
    <w:p>
      <w:pPr>
        <w:numPr>
          <w:ilvl w:val="0"/>
          <w:numId w:val="1003"/>
        </w:numPr>
        <w:pStyle w:val="Compact"/>
      </w:pPr>
      <w:r>
        <w:t xml:space="preserve">Informing Guangdong Provincial Audit Bureau on region-specific regulatory tools.</w:t>
      </w:r>
    </w:p>
    <w:p>
      <w:pPr>
        <w:numPr>
          <w:ilvl w:val="0"/>
          <w:numId w:val="1003"/>
        </w:numPr>
        <w:pStyle w:val="Compact"/>
      </w:pPr>
      <w:r>
        <w:t xml:space="preserve">Creating a benchmark for other Pearl River Delta cities (e.g., Shenzhen, Dongguan) to adopt best practices from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.</w:t>
      </w:r>
    </w:p>
    <w:bookmarkEnd w:id="24"/>
    <w:bookmarkStart w:id="25" w:name="expected-outcomes-and-deliverables"/>
    <w:p>
      <w:pPr>
        <w:pStyle w:val="Heading2"/>
      </w:pPr>
      <w:r>
        <w:t xml:space="preserve">6. Expected Outcomes and Deliverables</w:t>
      </w:r>
    </w:p>
    <w:p>
      <w:pPr>
        <w:pStyle w:val="FirstParagraph"/>
      </w:pPr>
      <w:r>
        <w:t xml:space="preserve">The project will produce:</w:t>
      </w:r>
    </w:p>
    <w:p>
      <w:pPr>
        <w:numPr>
          <w:ilvl w:val="0"/>
          <w:numId w:val="1004"/>
        </w:numPr>
        <w:pStyle w:val="Compact"/>
      </w:pPr>
      <w:r>
        <w:t xml:space="preserve">A comprehensive report detailing auditor challenges unique to Guangzhou, including a risk assessment matrix for key sectors (e.g., textile exports, e-commerce).</w:t>
      </w:r>
    </w:p>
    <w:p>
      <w:pPr>
        <w:numPr>
          <w:ilvl w:val="0"/>
          <w:numId w:val="1004"/>
        </w:numPr>
        <w:pStyle w:val="Compact"/>
      </w:pPr>
      <w:r>
        <w:t xml:space="preserve">A training curriculum module for auditors addressing Guangzhou’s regulatory nuances, endorsed by the Guangdong CPA Association.</w:t>
      </w:r>
    </w:p>
    <w:p>
      <w:pPr>
        <w:numPr>
          <w:ilvl w:val="0"/>
          <w:numId w:val="1004"/>
        </w:numPr>
        <w:pStyle w:val="Compact"/>
      </w:pPr>
      <w:r>
        <w:t xml:space="preserve">Policy briefs advocating for localized audit standards in China’s "Belt and Road" economic corridors.</w:t>
      </w:r>
    </w:p>
    <w:p>
      <w:pPr>
        <w:numPr>
          <w:ilvl w:val="0"/>
          <w:numId w:val="1004"/>
        </w:numPr>
        <w:pStyle w:val="Compact"/>
      </w:pPr>
      <w:r>
        <w:t xml:space="preserve">Academic publications targeting journals like *Journal of International Accounting Research* (with a focus on Asian markets).</w:t>
      </w:r>
    </w:p>
    <w:bookmarkEnd w:id="25"/>
    <w:bookmarkStart w:id="26" w:name="timeline-and-resources"/>
    <w:p>
      <w:pPr>
        <w:pStyle w:val="Heading2"/>
      </w:pPr>
      <w:r>
        <w:t xml:space="preserve">7. Timeline and Resources</w:t>
      </w:r>
    </w:p>
    <w:p>
      <w:pPr>
        <w:pStyle w:val="FirstParagraph"/>
      </w:pPr>
      <w:r>
        <w:t xml:space="preserve">The 9-month project commences in Q1 2025. Key resources include:</w:t>
      </w:r>
    </w:p>
    <w:p>
      <w:pPr>
        <w:numPr>
          <w:ilvl w:val="0"/>
          <w:numId w:val="1005"/>
        </w:numPr>
        <w:pStyle w:val="Compact"/>
      </w:pPr>
      <w:r>
        <w:t xml:space="preserve">Partnership with Guangzhou University Business School for local access.</w:t>
      </w:r>
    </w:p>
    <w:p>
      <w:pPr>
        <w:numPr>
          <w:ilvl w:val="0"/>
          <w:numId w:val="1005"/>
        </w:numPr>
        <w:pStyle w:val="Compact"/>
      </w:pPr>
      <w:r>
        <w:t xml:space="preserve">$85,000 budget covering survey tools, travel (Guangzhou fieldwork), and researcher stipends.</w:t>
      </w:r>
    </w:p>
    <w:p>
      <w:pPr>
        <w:numPr>
          <w:ilvl w:val="0"/>
          <w:numId w:val="1005"/>
        </w:numPr>
        <w:pStyle w:val="Compact"/>
      </w:pPr>
      <w:r>
        <w:t xml:space="preserve">Collaboration with China Certified Public Accountants Association’s Guangdong chapter for stakeholder engagement.</w:t>
      </w:r>
    </w:p>
    <w:bookmarkEnd w:id="26"/>
    <w:bookmarkStart w:id="27" w:name="Xa5997d3455d5e9fa69d610119a991ce6d5eea8f"/>
    <w:p>
      <w:pPr>
        <w:pStyle w:val="Heading2"/>
      </w:pPr>
      <w:r>
        <w:t xml:space="preserve">8. Conclusion: The Auditor as a Catalyst for Guangzhou’s Sustainable Growth</w:t>
      </w:r>
    </w:p>
    <w:p>
      <w:pPr>
        <w:pStyle w:val="FirstParagraph"/>
      </w:pPr>
      <w:r>
        <w:t xml:space="preserve">In the heart of southern China, where innovation and tradition intersect, the</w:t>
      </w:r>
      <w:r>
        <w:t xml:space="preserve"> </w:t>
      </w:r>
      <w:r>
        <w:rPr>
          <w:iCs/>
          <w:i/>
        </w:rPr>
        <w:t xml:space="preserve">Auditor</w:t>
      </w:r>
      <w:r>
        <w:t xml:space="preserve"> </w:t>
      </w:r>
      <w:r>
        <w:t xml:space="preserve">is not merely a compliance function but a strategic asset for sustainable development.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positions Guangzhou as the ideal laboratory to redefine auditor effectiveness in emerging economies—where regulatory agility meets market dynamism. By centering on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, this study moves beyond generic frameworks to deliver localized, actionable insights that can safeguard financial integrity across China’s most vibrant economic zone. Ultimately, it seeks to transform the</w:t>
      </w:r>
      <w:r>
        <w:t xml:space="preserve"> </w:t>
      </w:r>
      <w:r>
        <w:rPr>
          <w:iCs/>
          <w:i/>
        </w:rPr>
        <w:t xml:space="preserve">Auditor</w:t>
      </w:r>
      <w:r>
        <w:t xml:space="preserve"> </w:t>
      </w:r>
      <w:r>
        <w:t xml:space="preserve">from a passive checker into an active partner in Guangzhou’s global economic ascent.</w:t>
      </w:r>
    </w:p>
    <w:p>
      <w:pPr>
        <w:pStyle w:val="BodyText"/>
      </w:pPr>
      <w:r>
        <w:rPr>
          <w:bCs/>
          <w:b/>
        </w:rPr>
        <w:t xml:space="preserve">Word Count: 862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Auditor Professionalism in China Guangzhou's Evolving Economic Landscape</dc:title>
  <dc:creator/>
  <dc:language>en</dc:language>
  <cp:keywords/>
  <dcterms:created xsi:type="dcterms:W3CDTF">2025-12-11T06:08:32Z</dcterms:created>
  <dcterms:modified xsi:type="dcterms:W3CDTF">2025-12-11T06:08:32Z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