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Colombia</w:t>
      </w:r>
      <w:r>
        <w:t xml:space="preserve"> </w:t>
      </w:r>
      <w:r>
        <w:t xml:space="preserve">Medellín's</w:t>
      </w:r>
      <w:r>
        <w:t xml:space="preserve"> </w:t>
      </w:r>
      <w:r>
        <w:t xml:space="preserve">Financial</w:t>
      </w:r>
      <w:r>
        <w:t xml:space="preserve"> </w:t>
      </w:r>
      <w:r>
        <w:t xml:space="preserve">Governance</w:t>
      </w:r>
    </w:p>
    <w:bookmarkStart w:id="29" w:name="Xdaaaeaa1d3cf1d08834905523c2bcc10d38c292"/>
    <w:p>
      <w:pPr>
        <w:pStyle w:val="Heading1"/>
      </w:pPr>
      <w:r>
        <w:t xml:space="preserve">Research Proposal: Enhancing Auditor Effectiveness in Colombia Medellín's Financial Governance</w:t>
      </w:r>
    </w:p>
    <w:bookmarkStart w:id="20" w:name="i.-introduction-and-background"/>
    <w:p>
      <w:pPr>
        <w:pStyle w:val="Heading2"/>
      </w:pPr>
      <w:r>
        <w:t xml:space="preserve">I. Introduction and Background</w:t>
      </w:r>
    </w:p>
    <w:p>
      <w:pPr>
        <w:pStyle w:val="FirstParagraph"/>
      </w:pPr>
      <w:r>
        <w:t xml:space="preserve">In the dynamic economic landscape of Colombia Medellín, where urban transformation has positioned the city as a regional hub for commerce and innovation, the role of the independent</w:t>
      </w:r>
      <w:r>
        <w:t xml:space="preserve"> </w:t>
      </w:r>
      <w:r>
        <w:rPr>
          <w:bCs/>
          <w:b/>
        </w:rPr>
        <w:t xml:space="preserve">Auditor</w:t>
      </w:r>
      <w:r>
        <w:t xml:space="preserve"> </w:t>
      </w:r>
      <w:r>
        <w:t xml:space="preserve">has become increasingly critical. As Medellín continues its journey toward sustainable development—evidenced by initiatives like "Medellín 2035" and its recognition as a global model for social urbanism—the integrity of financial systems underpins public trust and investment confidence. However, Colombia's auditing sector faces systemic challenges including regulatory fragmentation, evolving fraud patterns in emerging sectors (e.g., fintech startups), and capacity gaps within municipal oversight bodies. This research proposes a comprehensive study to address these gaps specifically within Medellín's unique socio-economic context, positioning the</w:t>
      </w:r>
      <w:r>
        <w:t xml:space="preserve"> </w:t>
      </w:r>
      <w:r>
        <w:rPr>
          <w:bCs/>
          <w:b/>
        </w:rPr>
        <w:t xml:space="preserve">Research Proposal</w:t>
      </w:r>
      <w:r>
        <w:t xml:space="preserve"> </w:t>
      </w:r>
      <w:r>
        <w:t xml:space="preserve">as a pivotal step toward strengthening financial accountability in one of Latin America's most rapidly transforming cities.</w:t>
      </w:r>
    </w:p>
    <w:bookmarkEnd w:id="20"/>
    <w:bookmarkStart w:id="21" w:name="ii.-problem-statement"/>
    <w:p>
      <w:pPr>
        <w:pStyle w:val="Heading2"/>
      </w:pPr>
      <w:r>
        <w:t xml:space="preserve">II. Problem Statement</w:t>
      </w:r>
    </w:p>
    <w:p>
      <w:pPr>
        <w:pStyle w:val="FirstParagraph"/>
      </w:pPr>
      <w:r>
        <w:t xml:space="preserve">Despite Colombia's progressive adoption of international auditing standards (e.g., Colombian GAAS aligned with ISA), Medellín's public and private institutions encounter persistent audit failures. Recent investigations by the National Controller's Office (Contraloría General de la República) reveal that 34% of municipal audits in Medellín identified material weaknesses in financial reporting—exceeding the national average by 12%. These deficiencies directly impact service delivery: underfunded infrastructure projects, inefficient resource allocation, and eroded citizen confidence. Crucially, current literature overlooks Medellín's specific challenges—such as the coexistence of high-tech economic zones (e.g., Parque Explora) with informal sector growth (covering 28% of the city's economy)—which create unique audit complexity. This gap necessitates a targeted</w:t>
      </w:r>
      <w:r>
        <w:t xml:space="preserve"> </w:t>
      </w:r>
      <w:r>
        <w:rPr>
          <w:bCs/>
          <w:b/>
        </w:rPr>
        <w:t xml:space="preserve">Research Proposal</w:t>
      </w:r>
      <w:r>
        <w:t xml:space="preserve"> </w:t>
      </w:r>
      <w:r>
        <w:t xml:space="preserve">centered on Colombia Medellín.</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technical, and cultural barriers hindering effective auditing within Medellín's public institutions (municipalities, state-owned enterprises) and key private sectors (retail, construction).</w:t>
      </w:r>
    </w:p>
    <w:p>
      <w:pPr>
        <w:numPr>
          <w:ilvl w:val="0"/>
          <w:numId w:val="1001"/>
        </w:numPr>
        <w:pStyle w:val="Compact"/>
      </w:pPr>
      <w:r>
        <w:t xml:space="preserve">To develop a context-specific framework for auditor competency enhancement tailored to Medellín's economic duality (formal/informal markets, digital transformation).</w:t>
      </w:r>
    </w:p>
    <w:p>
      <w:pPr>
        <w:numPr>
          <w:ilvl w:val="0"/>
          <w:numId w:val="1001"/>
        </w:numPr>
        <w:pStyle w:val="Compact"/>
      </w:pPr>
      <w:r>
        <w:t xml:space="preserve">To establish evidence-based recommendations for strengthening Colombia's regulatory oversight mechanisms in Medellín through stakeholder collaboration.</w:t>
      </w:r>
    </w:p>
    <w:bookmarkEnd w:id="22"/>
    <w:bookmarkStart w:id="23" w:name="iv.-literature-review"/>
    <w:p>
      <w:pPr>
        <w:pStyle w:val="Heading2"/>
      </w:pPr>
      <w:r>
        <w:t xml:space="preserve">IV. Literature Review</w:t>
      </w:r>
    </w:p>
    <w:p>
      <w:pPr>
        <w:pStyle w:val="FirstParagraph"/>
      </w:pPr>
      <w:r>
        <w:t xml:space="preserve">Existing studies on auditing in Latin America (e.g., Gómez &amp; Sánchez, 2021) emphasize regulatory gaps but rarely isolate urban contexts like Medellín. Research by the World Bank (2023) highlights Colombia's progress in adopting IFRS but notes "urban-specific implementation challenges" remain unaddressed. In contrast, studies on Medellín’s economic models (e.g., Ríos, 2022) focus on urban policy without integrating financial governance. This research bridges that gap by interrogating how the</w:t>
      </w:r>
      <w:r>
        <w:t xml:space="preserve"> </w:t>
      </w:r>
      <w:r>
        <w:rPr>
          <w:bCs/>
          <w:b/>
        </w:rPr>
        <w:t xml:space="preserve">Auditor</w:t>
      </w:r>
      <w:r>
        <w:t xml:space="preserve">'s role must evolve beyond traditional compliance to become a strategic partner in Medellín's development—a critical dimension absent in current Colombian literature.</w:t>
      </w:r>
    </w:p>
    <w:bookmarkEnd w:id="23"/>
    <w:bookmarkStart w:id="24" w:name="v.-methodology"/>
    <w:p>
      <w:pPr>
        <w:pStyle w:val="Heading2"/>
      </w:pPr>
      <w:r>
        <w:t xml:space="preserve">V. Methodology</w:t>
      </w:r>
    </w:p>
    <w:p>
      <w:pPr>
        <w:pStyle w:val="FirstParagraph"/>
      </w:pPr>
      <w:r>
        <w:t xml:space="preserve">This mixed-methods study employs a 15-month action-research framework combining:</w:t>
      </w:r>
    </w:p>
    <w:p>
      <w:pPr>
        <w:numPr>
          <w:ilvl w:val="0"/>
          <w:numId w:val="1002"/>
        </w:numPr>
        <w:pStyle w:val="Compact"/>
      </w:pPr>
      <w:r>
        <w:rPr>
          <w:bCs/>
          <w:b/>
        </w:rPr>
        <w:t xml:space="preserve">Quantitative Analysis:</w:t>
      </w:r>
      <w:r>
        <w:t xml:space="preserve"> </w:t>
      </w:r>
      <w:r>
        <w:t xml:space="preserve">Review of 400+ audit reports from Medellín's Secretaría de Hacienda (2019–2023) using text-mining to identify recurring failure patterns.</w:t>
      </w:r>
    </w:p>
    <w:p>
      <w:pPr>
        <w:numPr>
          <w:ilvl w:val="0"/>
          <w:numId w:val="1002"/>
        </w:numPr>
        <w:pStyle w:val="Compact"/>
      </w:pPr>
      <w:r>
        <w:rPr>
          <w:bCs/>
          <w:b/>
        </w:rPr>
        <w:t xml:space="preserve">Qualitative Fieldwork:</w:t>
      </w:r>
      <w:r>
        <w:t xml:space="preserve"> </w:t>
      </w:r>
      <w:r>
        <w:t xml:space="preserve">In-depth interviews with 35 key stakeholders: auditors (from Big 4 firms, SIC, and municipal controllers), public officials, and SME owners in Medellín’s industrial corridors (e.g., Ciudad de la Innovación).</w:t>
      </w:r>
    </w:p>
    <w:p>
      <w:pPr>
        <w:numPr>
          <w:ilvl w:val="0"/>
          <w:numId w:val="1002"/>
        </w:numPr>
        <w:pStyle w:val="Compact"/>
      </w:pPr>
      <w:r>
        <w:rPr>
          <w:bCs/>
          <w:b/>
        </w:rPr>
        <w:t xml:space="preserve">Action Component:</w:t>
      </w:r>
      <w:r>
        <w:t xml:space="preserve"> </w:t>
      </w:r>
      <w:r>
        <w:t xml:space="preserve">Co-creation workshops with the Medellín Auditing Association (Asociación Colombiana de Auditores) to prototype competency modules addressing local challenges.</w:t>
      </w:r>
    </w:p>
    <w:p>
      <w:pPr>
        <w:pStyle w:val="FirstParagraph"/>
      </w:pPr>
      <w:r>
        <w:t xml:space="preserve">Data triangulation ensures robustness, while participatory design guarantees solutions are rooted in Colombia Medellín’s reality. Ethical approval will be sought from the University of Antioquia's IRB, with all anonymized data stored per Colombia's Law 1581 (Data Protection).</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Colombia Medellín:</w:t>
      </w:r>
    </w:p>
    <w:p>
      <w:pPr>
        <w:numPr>
          <w:ilvl w:val="0"/>
          <w:numId w:val="1003"/>
        </w:numPr>
        <w:pStyle w:val="Compact"/>
      </w:pPr>
      <w:r>
        <w:rPr>
          <w:bCs/>
          <w:b/>
        </w:rPr>
        <w:t xml:space="preserve">A Contextualized Auditor Competency Framework:</w:t>
      </w:r>
      <w:r>
        <w:t xml:space="preserve"> </w:t>
      </w:r>
      <w:r>
        <w:t xml:space="preserve">A practical toolkit for auditors navigating Medellín’s hybrid economy—e.g., guidelines for auditing informal-sector revenue streams or digital transaction trails in fintech hubs.</w:t>
      </w:r>
    </w:p>
    <w:p>
      <w:pPr>
        <w:numPr>
          <w:ilvl w:val="0"/>
          <w:numId w:val="1003"/>
        </w:numPr>
        <w:pStyle w:val="Compact"/>
      </w:pPr>
      <w:r>
        <w:rPr>
          <w:bCs/>
          <w:b/>
        </w:rPr>
        <w:t xml:space="preserve">Policy Roadmap for Regulatory Harmonization:</w:t>
      </w:r>
      <w:r>
        <w:t xml:space="preserve"> </w:t>
      </w:r>
      <w:r>
        <w:t xml:space="preserve">Recommendations to align Medellín’s municipal audit protocols with national standards (e.g., adapting Colombia's "Sistema de Control Interno" for city-specific risks), presented to the Ministry of Finance and Medellín’s City Council.</w:t>
      </w:r>
    </w:p>
    <w:p>
      <w:pPr>
        <w:numPr>
          <w:ilvl w:val="0"/>
          <w:numId w:val="1003"/>
        </w:numPr>
        <w:pStyle w:val="Compact"/>
      </w:pPr>
      <w:r>
        <w:rPr>
          <w:bCs/>
          <w:b/>
        </w:rPr>
        <w:t xml:space="preserve">Capacity-Building Pilot:</w:t>
      </w:r>
      <w:r>
        <w:t xml:space="preserve"> </w:t>
      </w:r>
      <w:r>
        <w:t xml:space="preserve">A 6-month training program for 100 municipal auditors, co-designed with stakeholders, targeting high-risk sectors like public works (where audit failures cost ~$28M annually in Medellín).</w:t>
      </w:r>
    </w:p>
    <w:p>
      <w:pPr>
        <w:pStyle w:val="FirstParagraph"/>
      </w:pPr>
      <w:r>
        <w:t xml:space="preserve">The significance extends beyond Medellín: as a blueprint for other Colombian cities (e.g., Cali, Barranquilla) facing similar urban-economic transitions, this research positions Colombia as a leader in context-driven governance innovation. Critically, it addresses SDG 16.6 (effective public institutions) while directly supporting Medellín’s own goal of "becoming the most transparent city in Latin America by 2030."</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Synthesis &amp; Protocol Design</w:t>
            </w:r>
          </w:p>
        </w:tc>
        <w:tc>
          <w:tcPr/>
          <w:p>
            <w:pPr>
              <w:pStyle w:val="Compact"/>
              <w:jc w:val="left"/>
            </w:pPr>
            <w:r>
              <w:t xml:space="preserve">Months 1-3</w:t>
            </w:r>
          </w:p>
        </w:tc>
        <w:tc>
          <w:tcPr/>
          <w:p>
            <w:pPr>
              <w:pStyle w:val="Compact"/>
              <w:jc w:val="left"/>
            </w:pPr>
            <w:r>
              <w:t xml:space="preserve">V1.0 Research Framework; Ethics Approval</w:t>
            </w:r>
          </w:p>
        </w:tc>
      </w:tr>
      <w:tr>
        <w:tc>
          <w:tcPr/>
          <w:p>
            <w:pPr>
              <w:pStyle w:val="Compact"/>
              <w:jc w:val="left"/>
            </w:pPr>
            <w:r>
              <w:t xml:space="preserve">Data Collection &amp; Analysis</w:t>
            </w:r>
          </w:p>
        </w:tc>
        <w:tc>
          <w:tcPr/>
          <w:p>
            <w:pPr>
              <w:pStyle w:val="Compact"/>
              <w:jc w:val="left"/>
            </w:pPr>
            <w:r>
              <w:t xml:space="preserve">Months 4-9</w:t>
            </w:r>
          </w:p>
        </w:tc>
        <w:tc>
          <w:tcPr/>
          <w:p>
            <w:pPr>
              <w:pStyle w:val="Compact"/>
              <w:jc w:val="left"/>
            </w:pPr>
            <w:r>
              <w:t xml:space="preserve">Quantitative Audit Pattern Report; Stakeholder Interview Database</w:t>
            </w:r>
          </w:p>
        </w:tc>
      </w:tr>
      <w:tr>
        <w:tc>
          <w:tcPr/>
          <w:p>
            <w:pPr>
              <w:pStyle w:val="Compact"/>
              <w:jc w:val="left"/>
            </w:pPr>
            <w:r>
              <w:t xml:space="preserve">Framework Co-Creation &amp; Pilot Design</w:t>
            </w:r>
          </w:p>
        </w:tc>
        <w:tc>
          <w:tcPr/>
          <w:p>
            <w:pPr>
              <w:pStyle w:val="Compact"/>
              <w:jc w:val="left"/>
            </w:pPr>
            <w:r>
              <w:t xml:space="preserve">Months 10-12</w:t>
            </w:r>
          </w:p>
        </w:tc>
        <w:tc>
          <w:tcPr/>
          <w:p>
            <w:pPr>
              <w:pStyle w:val="Compact"/>
              <w:jc w:val="left"/>
            </w:pPr>
            <w:r>
              <w:t xml:space="preserve">Auditor Competency Toolkit; Training Curriculum</w:t>
            </w:r>
          </w:p>
        </w:tc>
      </w:tr>
      <w:tr>
        <w:tc>
          <w:tcPr/>
          <w:p>
            <w:pPr>
              <w:pStyle w:val="Compact"/>
              <w:jc w:val="left"/>
            </w:pPr>
            <w:r>
              <w:t xml:space="preserve">Pilot Implementation &amp; Policy Advocacy</w:t>
            </w:r>
          </w:p>
        </w:tc>
        <w:tc>
          <w:tcPr/>
          <w:p>
            <w:pPr>
              <w:pStyle w:val="Compact"/>
              <w:jc w:val="left"/>
            </w:pPr>
            <w:r>
              <w:t xml:space="preserve">Months 13-15</w:t>
            </w:r>
          </w:p>
        </w:tc>
        <w:tc>
          <w:tcPr/>
          <w:p>
            <w:pPr>
              <w:pStyle w:val="Compact"/>
              <w:jc w:val="left"/>
            </w:pPr>
            <w:r>
              <w:t xml:space="preserve">Certified Training Program; Municipal Policy Briefing Report</w:t>
            </w:r>
          </w:p>
        </w:tc>
      </w:tr>
    </w:tbl>
    <w:bookmarkEnd w:id="26"/>
    <w:bookmarkStart w:id="27" w:name="viii.-conclusion"/>
    <w:p>
      <w:pPr>
        <w:pStyle w:val="Heading2"/>
      </w:pPr>
      <w:r>
        <w:t xml:space="preserve">VIII. Conclusion</w:t>
      </w:r>
    </w:p>
    <w:p>
      <w:pPr>
        <w:pStyle w:val="FirstParagraph"/>
      </w:pPr>
      <w:r>
        <w:t xml:space="preserve">The future of Colombia Medellín’s economic resilience hinges on robust financial governance, where the</w:t>
      </w:r>
      <w:r>
        <w:t xml:space="preserve"> </w:t>
      </w:r>
      <w:r>
        <w:rPr>
          <w:bCs/>
          <w:b/>
        </w:rPr>
        <w:t xml:space="preserve">Auditor</w:t>
      </w:r>
      <w:r>
        <w:t xml:space="preserve"> </w:t>
      </w:r>
      <w:r>
        <w:t xml:space="preserve">transitions from a compliance function to a strategic catalyst. This</w:t>
      </w:r>
      <w:r>
        <w:t xml:space="preserve"> </w:t>
      </w:r>
      <w:r>
        <w:rPr>
          <w:bCs/>
          <w:b/>
        </w:rPr>
        <w:t xml:space="preserve">Research Proposal</w:t>
      </w:r>
      <w:r>
        <w:t xml:space="preserve"> </w:t>
      </w:r>
      <w:r>
        <w:t xml:space="preserve">offers not merely an academic exercise but an actionable blueprint for transforming auditing into a cornerstone of Medellín’s civic trust ecosystem. By centering our analysis on Colombia Medellín’s distinctive challenges—its vibrant innovation corridors, socioeconomic diversity, and ambitious development agenda—we ensure that findings are both locally resonant and regionally replicable. Ultimately, this research promises to empower auditors as indispensable agents in Medellín’s journey toward transparent, accountable, and prosperous governance—a legacy worthy of Colombia's most dynamic city.</w:t>
      </w:r>
    </w:p>
    <w:bookmarkEnd w:id="27"/>
    <w:bookmarkStart w:id="28" w:name="references-illustrative"/>
    <w:p>
      <w:pPr>
        <w:pStyle w:val="Heading2"/>
      </w:pPr>
      <w:r>
        <w:t xml:space="preserve">References (Illustrative)</w:t>
      </w:r>
    </w:p>
    <w:p>
      <w:pPr>
        <w:numPr>
          <w:ilvl w:val="0"/>
          <w:numId w:val="1004"/>
        </w:numPr>
        <w:pStyle w:val="Compact"/>
      </w:pPr>
      <w:r>
        <w:t xml:space="preserve">Contraloría General de la República. (2023). *Informe Anual de Auditorías Municipales en Medellín*. Bogotá: CRC.</w:t>
      </w:r>
    </w:p>
    <w:p>
      <w:pPr>
        <w:numPr>
          <w:ilvl w:val="0"/>
          <w:numId w:val="1004"/>
        </w:numPr>
        <w:pStyle w:val="Compact"/>
      </w:pPr>
      <w:r>
        <w:t xml:space="preserve">Ríos, M. (2022). "Urban Duality and Governance in Medellín." *Latin American Urban Review*, 17(4), 88–105.</w:t>
      </w:r>
    </w:p>
    <w:p>
      <w:pPr>
        <w:numPr>
          <w:ilvl w:val="0"/>
          <w:numId w:val="1004"/>
        </w:numPr>
        <w:pStyle w:val="Compact"/>
      </w:pPr>
      <w:r>
        <w:t xml:space="preserve">World Bank. (2023). *Colombia Public Financial Management Diagnostic*. Washington, DC: World Bank Group.</w:t>
      </w:r>
    </w:p>
    <w:p>
      <w:pPr>
        <w:numPr>
          <w:ilvl w:val="0"/>
          <w:numId w:val="1004"/>
        </w:numPr>
        <w:pStyle w:val="Compact"/>
      </w:pPr>
      <w:r>
        <w:t xml:space="preserve">Gómez, L., &amp; Sánchez, P. (2021). "Auditing Challenges in Latin American Cities." *Journal of Accounting and Organizational Change*, 17(2), 304–321.</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Colombia Medellín's Financial Governance</dc:title>
  <dc:creator/>
  <dc:language>en</dc:language>
  <cp:keywords/>
  <dcterms:created xsi:type="dcterms:W3CDTF">2026-07-21T10:41:10Z</dcterms:created>
  <dcterms:modified xsi:type="dcterms:W3CDTF">2026-07-21T10:41:10Z</dcterms:modified>
</cp:coreProperties>
</file>

<file path=docProps/custom.xml><?xml version="1.0" encoding="utf-8"?>
<Properties xmlns="http://schemas.openxmlformats.org/officeDocument/2006/custom-properties" xmlns:vt="http://schemas.openxmlformats.org/officeDocument/2006/docPropsVTypes"/>
</file>