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Performance</w:t>
      </w:r>
      <w:r>
        <w:t xml:space="preserve"> </w:t>
      </w:r>
      <w:r>
        <w:t xml:space="preserve">and</w:t>
      </w:r>
      <w:r>
        <w:t xml:space="preserve"> </w:t>
      </w:r>
      <w:r>
        <w:t xml:space="preserve">Compliance</w:t>
      </w:r>
      <w:r>
        <w:t xml:space="preserve"> </w:t>
      </w:r>
      <w:r>
        <w:t xml:space="preserve">Challenges</w:t>
      </w:r>
      <w:r>
        <w:t xml:space="preserve"> </w:t>
      </w:r>
      <w:r>
        <w:t xml:space="preserve">in</w:t>
      </w:r>
      <w:r>
        <w:t xml:space="preserve"> </w:t>
      </w:r>
      <w:r>
        <w:t xml:space="preserve">Egypt</w:t>
      </w:r>
      <w:r>
        <w:t xml:space="preserve"> </w:t>
      </w:r>
      <w:r>
        <w:t xml:space="preserve">Alexandria</w:t>
      </w:r>
    </w:p>
    <w:bookmarkStart w:id="28" w:name="Xf84fdca4486164872b13b6cb15ae8d47f292bed"/>
    <w:p>
      <w:pPr>
        <w:pStyle w:val="Heading1"/>
      </w:pPr>
      <w:r>
        <w:t xml:space="preserve">Research Proposal: Auditor Performance and Compliance Challenges within the Business Ecosystem of Egypt Alexandria</w:t>
      </w:r>
    </w:p>
    <w:bookmarkStart w:id="20" w:name="introduction"/>
    <w:p>
      <w:pPr>
        <w:pStyle w:val="Heading2"/>
      </w:pPr>
      <w:r>
        <w:t xml:space="preserve">1. Introduction</w:t>
      </w:r>
    </w:p>
    <w:p>
      <w:pPr>
        <w:pStyle w:val="FirstParagraph"/>
      </w:pPr>
      <w:r>
        <w:t xml:space="preserve">The city of Egypt Alexandria, as a pivotal economic and commercial hub in the Mediterranean region, hosts a dynamic business landscape characterized by diverse sectors including maritime trade, tourism, manufacturing, and burgeoning SMEs. Within this context, the role of the independent</w:t>
      </w:r>
      <w:r>
        <w:t xml:space="preserve"> </w:t>
      </w:r>
      <w:r>
        <w:rPr>
          <w:bCs/>
          <w:b/>
        </w:rPr>
        <w:t xml:space="preserve">Auditor</w:t>
      </w:r>
      <w:r>
        <w:t xml:space="preserve"> </w:t>
      </w:r>
      <w:r>
        <w:t xml:space="preserve">is not merely transactional but fundamental to ensuring financial transparency, fostering investor confidence, and supporting sustainable economic growth. However, recent regulatory shifts in Egypt and localized challenges within Alexandria necessitate a focused examination of auditor effectiveness. This</w:t>
      </w:r>
      <w:r>
        <w:t xml:space="preserve"> </w:t>
      </w:r>
      <w:r>
        <w:rPr>
          <w:bCs/>
          <w:b/>
        </w:rPr>
        <w:t xml:space="preserve">Research Proposal</w:t>
      </w:r>
      <w:r>
        <w:t xml:space="preserve"> </w:t>
      </w:r>
      <w:r>
        <w:t xml:space="preserve">specifically targets the critical intersection of professional auditing standards, regulatory compliance frameworks, and the unique operational environment of auditors operating within</w:t>
      </w:r>
      <w:r>
        <w:t xml:space="preserve"> </w:t>
      </w:r>
      <w:r>
        <w:rPr>
          <w:bCs/>
          <w:b/>
        </w:rPr>
        <w:t xml:space="preserve">Egypt Alexandria</w:t>
      </w:r>
      <w:r>
        <w:t xml:space="preserve">. The study aims to address a significant gap: understanding how Alexandrian auditors navigate evolving Egyptian accounting regulations while serving local businesses amid economic pressures.</w:t>
      </w:r>
    </w:p>
    <w:bookmarkEnd w:id="20"/>
    <w:bookmarkStart w:id="21" w:name="problem-statement"/>
    <w:p>
      <w:pPr>
        <w:pStyle w:val="Heading2"/>
      </w:pPr>
      <w:r>
        <w:t xml:space="preserve">2. Problem Statement</w:t>
      </w:r>
    </w:p>
    <w:p>
      <w:pPr>
        <w:pStyle w:val="FirstParagraph"/>
      </w:pPr>
      <w:r>
        <w:t xml:space="preserve">Despite Egypt's adoption of International Financial Reporting Standards (IFRS) and the implementation of the new Audit Law No. 106/2023, evidence suggests inconsistent auditor performance across regions. In Alexandria, where a substantial portion of Egypt’s exports transit through its historic port and where SMEs form the backbone of commerce, auditors face distinct pressures. These include navigating complex local tax interpretations (e.g., VAT regulations), managing relationships with state-owned enterprises prevalent in the region, and addressing resource constraints within local audit firms. The lack of region-specific research on auditor challenges in Alexandria impedes targeted policy interventions and professional development initiatives. This gap poses a risk to financial integrity, potentially deterring foreign investment crucial for Alexandria’s development as a global trade node.</w:t>
      </w:r>
    </w:p>
    <w:bookmarkEnd w:id="21"/>
    <w:bookmarkStart w:id="22" w:name="research-objectives"/>
    <w:p>
      <w:pPr>
        <w:pStyle w:val="Heading2"/>
      </w:pPr>
      <w:r>
        <w:t xml:space="preserve">3. Research Objectives</w:t>
      </w:r>
    </w:p>
    <w:p>
      <w:pPr>
        <w:numPr>
          <w:ilvl w:val="0"/>
          <w:numId w:val="1001"/>
        </w:numPr>
        <w:pStyle w:val="Compact"/>
      </w:pPr>
      <w:r>
        <w:t xml:space="preserve">To evaluate the impact of Egypt's recent Audit Law (2023) on auditor independence and procedural adherence within Alexandrian audit firms.</w:t>
      </w:r>
    </w:p>
    <w:p>
      <w:pPr>
        <w:numPr>
          <w:ilvl w:val="0"/>
          <w:numId w:val="1001"/>
        </w:numPr>
        <w:pStyle w:val="Compact"/>
      </w:pPr>
      <w:r>
        <w:t xml:space="preserve">To identify key compliance challenges faced by auditors when auditing businesses across Alexandria’s primary sectors (e.g., port logistics, tourism services, food processing).</w:t>
      </w:r>
    </w:p>
    <w:p>
      <w:pPr>
        <w:numPr>
          <w:ilvl w:val="0"/>
          <w:numId w:val="1001"/>
        </w:numPr>
        <w:pStyle w:val="Compact"/>
      </w:pPr>
      <w:r>
        <w:t xml:space="preserve">To assess the perceived effectiveness of auditors in detecting financial irregularities within Egyptian SMEs operating in Alexandria.</w:t>
      </w:r>
    </w:p>
    <w:p>
      <w:pPr>
        <w:numPr>
          <w:ilvl w:val="0"/>
          <w:numId w:val="1001"/>
        </w:numPr>
        <w:pStyle w:val="Compact"/>
      </w:pPr>
      <w:r>
        <w:t xml:space="preserve">To propose actionable recommendations for enhancing auditor capacity and regulatory alignment specific to the Egypt Alexandria context.</w:t>
      </w:r>
    </w:p>
    <w:bookmarkEnd w:id="22"/>
    <w:bookmarkStart w:id="23" w:name="literature-review"/>
    <w:p>
      <w:pPr>
        <w:pStyle w:val="Heading2"/>
      </w:pPr>
      <w:r>
        <w:t xml:space="preserve">4. Literature Review</w:t>
      </w:r>
    </w:p>
    <w:p>
      <w:pPr>
        <w:pStyle w:val="FirstParagraph"/>
      </w:pPr>
      <w:r>
        <w:t xml:space="preserve">Existing studies on auditing in Egypt predominantly focus on Cairo's corporate sector (e.g., El-Sayed &amp; Hassan, 2021), overlooking regional variations. Research by Mahmoud (2019) highlighted auditor independence concerns in state-linked entities but did not disaggregate findings for Alexandria. Similarly, global literature on the 'Audit Expectation Gap' (Brierley et al., 2015) emphasizes standards compliance but lacks localization for Egyptian provincial markets. Crucially, no study has systematically analyzed how auditors in Egypt Alexandria operationalize new regulations within a city where informal business networks and port-related economic volatility create unique audit complexities. This proposal directly addresses this void by centering the Alexandrian experience.</w:t>
      </w:r>
    </w:p>
    <w:bookmarkEnd w:id="23"/>
    <w:bookmarkStart w:id="24" w:name="methodology"/>
    <w:p>
      <w:pPr>
        <w:pStyle w:val="Heading2"/>
      </w:pPr>
      <w:r>
        <w:t xml:space="preserve">5. Methodology</w:t>
      </w:r>
    </w:p>
    <w:p>
      <w:pPr>
        <w:pStyle w:val="FirstParagraph"/>
      </w:pPr>
      <w:r>
        <w:t xml:space="preserve">This mixed-methods study will employ a triangulated approach tailored to the Alexandria context:</w:t>
      </w:r>
    </w:p>
    <w:p>
      <w:pPr>
        <w:numPr>
          <w:ilvl w:val="0"/>
          <w:numId w:val="1002"/>
        </w:numPr>
        <w:pStyle w:val="Compact"/>
      </w:pPr>
      <w:r>
        <w:rPr>
          <w:bCs/>
          <w:b/>
        </w:rPr>
        <w:t xml:space="preserve">Quantitative Survey:</w:t>
      </w:r>
      <w:r>
        <w:t xml:space="preserve"> </w:t>
      </w:r>
      <w:r>
        <w:t xml:space="preserve">A structured questionnaire targeting 150 licensed auditors registered with the Egyptian Society of Certified Public Accountants (ESCOPA) and operating within Alexandria. Questions will measure compliance rates, perceived regulatory barriers, and client sector challenges.</w:t>
      </w:r>
    </w:p>
    <w:p>
      <w:pPr>
        <w:numPr>
          <w:ilvl w:val="0"/>
          <w:numId w:val="1002"/>
        </w:numPr>
        <w:pStyle w:val="Compact"/>
      </w:pPr>
      <w:r>
        <w:rPr>
          <w:bCs/>
          <w:b/>
        </w:rPr>
        <w:t xml:space="preserve">Qualitative Interviews:</w:t>
      </w:r>
      <w:r>
        <w:t xml:space="preserve"> </w:t>
      </w:r>
      <w:r>
        <w:t xml:space="preserve">In-depth semi-structured interviews with 25 key stakeholders: senior auditors from major firms in Alexandria, representatives from the Egyptian Financial Regulatory Authority (FRA), and SME owners across three sectors (tourism, manufacturing, port services).</w:t>
      </w:r>
    </w:p>
    <w:p>
      <w:pPr>
        <w:numPr>
          <w:ilvl w:val="0"/>
          <w:numId w:val="1002"/>
        </w:numPr>
        <w:pStyle w:val="Compact"/>
      </w:pPr>
      <w:r>
        <w:rPr>
          <w:bCs/>
          <w:b/>
        </w:rPr>
        <w:t xml:space="preserve">Document Analysis:</w:t>
      </w:r>
      <w:r>
        <w:t xml:space="preserve"> </w:t>
      </w:r>
      <w:r>
        <w:t xml:space="preserve">Review of recent audit reports for publicly traded companies headquartered in Alexandria and compliance records with the 2023 Audit Law.</w:t>
      </w:r>
    </w:p>
    <w:p>
      <w:pPr>
        <w:pStyle w:val="FirstParagraph"/>
      </w:pPr>
      <w:r>
        <w:t xml:space="preserve">Data collection will occur over six months (January–June 2025) within Alexandria, ensuring geographic and sectoral representation. Analysis will utilize SPSS for quantitative data and thematic coding for qualitative insights. Ethical approval will be sought from the Research Ethics Committee of Alexandria University.</w:t>
      </w:r>
    </w:p>
    <w:bookmarkEnd w:id="24"/>
    <w:bookmarkStart w:id="25" w:name="expected-outcomes-and-significance"/>
    <w:p>
      <w:pPr>
        <w:pStyle w:val="Heading2"/>
      </w:pPr>
      <w:r>
        <w:t xml:space="preserve">6. Expected Outcomes and Significance</w:t>
      </w:r>
    </w:p>
    <w:p>
      <w:pPr>
        <w:pStyle w:val="FirstParagraph"/>
      </w:pPr>
      <w:r>
        <w:t xml:space="preserve">This research anticipates identifying three critical areas impacting auditor performance in Egypt Alexandria:</w:t>
      </w:r>
    </w:p>
    <w:p>
      <w:pPr>
        <w:numPr>
          <w:ilvl w:val="0"/>
          <w:numId w:val="1003"/>
        </w:numPr>
        <w:pStyle w:val="Compact"/>
      </w:pPr>
      <w:r>
        <w:rPr>
          <w:bCs/>
          <w:b/>
        </w:rPr>
        <w:t xml:space="preserve">Regulatory Navigation:</w:t>
      </w:r>
      <w:r>
        <w:t xml:space="preserve"> </w:t>
      </w:r>
      <w:r>
        <w:t xml:space="preserve">Evidence that auditors in Alexandria require clearer local guidance on implementing the 2023 Audit Law, particularly regarding tax audits and state-owned enterprise interactions.</w:t>
      </w:r>
    </w:p>
    <w:p>
      <w:pPr>
        <w:numPr>
          <w:ilvl w:val="0"/>
          <w:numId w:val="1003"/>
        </w:numPr>
        <w:pStyle w:val="Compact"/>
      </w:pPr>
      <w:r>
        <w:rPr>
          <w:bCs/>
          <w:b/>
        </w:rPr>
        <w:t xml:space="preserve">SME Compliance Gaps:</w:t>
      </w:r>
      <w:r>
        <w:t xml:space="preserve"> </w:t>
      </w:r>
      <w:r>
        <w:t xml:space="preserve">Data confirming higher rates of financial misstatement detection challenges in Alexandria’s SMEs due to limited internal controls and sector-specific complexities (e.g., fluctuating tourism revenue).</w:t>
      </w:r>
    </w:p>
    <w:p>
      <w:pPr>
        <w:numPr>
          <w:ilvl w:val="0"/>
          <w:numId w:val="1003"/>
        </w:numPr>
        <w:pStyle w:val="Compact"/>
      </w:pPr>
      <w:r>
        <w:rPr>
          <w:bCs/>
          <w:b/>
        </w:rPr>
        <w:t xml:space="preserve">Capacity Needs:</w:t>
      </w:r>
      <w:r>
        <w:t xml:space="preserve"> </w:t>
      </w:r>
      <w:r>
        <w:t xml:space="preserve">Identification of specific training gaps for auditors regarding Egypt’s evolving digital tax systems (e.g., VAT e-filing) as used by businesses across Alexandria.</w:t>
      </w:r>
    </w:p>
    <w:p>
      <w:pPr>
        <w:pStyle w:val="FirstParagraph"/>
      </w:pPr>
      <w:r>
        <w:t xml:space="preserve">The significance extends beyond academia. Findings will directly inform the FRA’s regulatory guidelines for provincial auditors, empower ESCOPA to develop Alexandria-specific training modules, and provide actionable insights for Egyptian Ministry of Trade policies aimed at boosting investment in the Alexandria economic zone. By focusing on the</w:t>
      </w:r>
      <w:r>
        <w:t xml:space="preserve"> </w:t>
      </w:r>
      <w:r>
        <w:rPr>
          <w:bCs/>
          <w:b/>
        </w:rPr>
        <w:t xml:space="preserve">Auditor</w:t>
      </w:r>
      <w:r>
        <w:t xml:space="preserve"> </w:t>
      </w:r>
      <w:r>
        <w:t xml:space="preserve">as a catalyst for financial trust within</w:t>
      </w:r>
      <w:r>
        <w:t xml:space="preserve"> </w:t>
      </w:r>
      <w:r>
        <w:rPr>
          <w:bCs/>
          <w:b/>
        </w:rPr>
        <w:t xml:space="preserve">Egypt Alexandria</w:t>
      </w:r>
      <w:r>
        <w:t xml:space="preserve">, this study positions itself as essential for regional economic resilience.</w:t>
      </w:r>
    </w:p>
    <w:bookmarkEnd w:id="25"/>
    <w:bookmarkStart w:id="26" w:name="timeline-and-budget-summary"/>
    <w:p>
      <w:pPr>
        <w:pStyle w:val="Heading2"/>
      </w:pPr>
      <w:r>
        <w:t xml:space="preserve">7. Timeline and Budget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Literature review finalization, survey design, ethics clearance.</w:t>
            </w:r>
          </w:p>
        </w:tc>
      </w:tr>
      <w:tr>
        <w:tc>
          <w:tcPr/>
          <w:p>
            <w:pPr>
              <w:pStyle w:val="Compact"/>
              <w:jc w:val="left"/>
            </w:pPr>
            <w:r>
              <w:t xml:space="preserve">Data Collection (Surveys &amp; Interviews)</w:t>
            </w:r>
          </w:p>
        </w:tc>
        <w:tc>
          <w:tcPr/>
          <w:p>
            <w:pPr>
              <w:pStyle w:val="Compact"/>
              <w:jc w:val="left"/>
            </w:pPr>
            <w:r>
              <w:t xml:space="preserve">Month 3-4</w:t>
            </w:r>
          </w:p>
        </w:tc>
        <w:tc>
          <w:tcPr/>
          <w:p>
            <w:pPr>
              <w:pStyle w:val="Compact"/>
              <w:jc w:val="left"/>
            </w:pPr>
            <w:r>
              <w:t xml:space="preserve">Fieldwork in Alexandria; recruitment of participants; data gathering.</w:t>
            </w:r>
          </w:p>
        </w:tc>
      </w:tr>
      <w:tr>
        <w:tc>
          <w:tcPr/>
          <w:p>
            <w:pPr>
              <w:pStyle w:val="Compact"/>
              <w:jc w:val="left"/>
            </w:pPr>
            <w:r>
              <w:t xml:space="preserve">Data Analysis &amp; Drafting</w:t>
            </w:r>
          </w:p>
        </w:tc>
        <w:tc>
          <w:tcPr/>
          <w:p>
            <w:pPr>
              <w:pStyle w:val="Compact"/>
              <w:jc w:val="left"/>
            </w:pPr>
            <w:r>
              <w:t xml:space="preserve">Month 5</w:t>
            </w:r>
          </w:p>
        </w:tc>
        <w:tc>
          <w:tcPr/>
          <w:p>
            <w:pPr>
              <w:pStyle w:val="Compact"/>
              <w:jc w:val="left"/>
            </w:pPr>
            <w:r>
              <w:t xml:space="preserve">Quantitative analysis, thematic coding, preliminary findings.</w:t>
            </w:r>
          </w:p>
        </w:tc>
      </w:tr>
      <w:tr>
        <w:tc>
          <w:tcPr/>
          <w:p>
            <w:pPr>
              <w:pStyle w:val="Compact"/>
              <w:jc w:val="left"/>
            </w:pPr>
            <w:r>
              <w:t xml:space="preserve">Report Finalization &amp; Dissemination</w:t>
            </w:r>
          </w:p>
        </w:tc>
        <w:tc>
          <w:tcPr/>
          <w:p>
            <w:pPr>
              <w:pStyle w:val="Compact"/>
              <w:jc w:val="left"/>
            </w:pPr>
            <w:r>
              <w:t xml:space="preserve">Month 6</w:t>
            </w:r>
          </w:p>
        </w:tc>
        <w:tc>
          <w:tcPr/>
          <w:p>
            <w:pPr>
              <w:pStyle w:val="Compact"/>
              <w:jc w:val="left"/>
            </w:pPr>
            <w:r>
              <w:t xml:space="preserve">Memoir preparation; stakeholder workshops in Alexandria; academic publication.</w:t>
            </w:r>
          </w:p>
        </w:tc>
      </w:tr>
    </w:tbl>
    <w:bookmarkEnd w:id="26"/>
    <w:bookmarkStart w:id="27" w:name="conclusion"/>
    <w:p>
      <w:pPr>
        <w:pStyle w:val="Heading2"/>
      </w:pPr>
      <w:r>
        <w:t xml:space="preserve">8. Conclusion</w:t>
      </w:r>
    </w:p>
    <w:p>
      <w:pPr>
        <w:pStyle w:val="FirstParagraph"/>
      </w:pPr>
      <w:r>
        <w:t xml:space="preserve">The financial health of Egypt Alexandria’s economy is intrinsically linked to the competence and integrity of its audit profession. This comprehensive</w:t>
      </w:r>
      <w:r>
        <w:t xml:space="preserve"> </w:t>
      </w:r>
      <w:r>
        <w:rPr>
          <w:bCs/>
          <w:b/>
        </w:rPr>
        <w:t xml:space="preserve">Research Proposal</w:t>
      </w:r>
      <w:r>
        <w:t xml:space="preserve"> </w:t>
      </w:r>
      <w:r>
        <w:t xml:space="preserve">outlines a vital investigation into the current realities faced by the</w:t>
      </w:r>
      <w:r>
        <w:t xml:space="preserve"> </w:t>
      </w:r>
      <w:r>
        <w:rPr>
          <w:bCs/>
          <w:b/>
        </w:rPr>
        <w:t xml:space="preserve">Auditor</w:t>
      </w:r>
      <w:r>
        <w:t xml:space="preserve"> </w:t>
      </w:r>
      <w:r>
        <w:t xml:space="preserve">within this specific Egyptian city. By centering the study on Alexandria's unique economic ecosystem, regulatory environment, and business challenges, it promises to deliver nuanced insights far beyond generic national reports. The findings will empower regulators to tailor policies for provincial auditors and strengthen the foundation of financial accountability in Egypt Alexandria—a critical step for its continued growth as a leader in Mediterranean commerce. This research is not merely academic; it is an investment in the trust that fuels sustainable business development across</w:t>
      </w:r>
      <w:r>
        <w:t xml:space="preserve"> </w:t>
      </w:r>
      <w:r>
        <w:rPr>
          <w:bCs/>
          <w:b/>
        </w:rPr>
        <w:t xml:space="preserve">Egypt Alexandria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Performance and Compliance Challenges in Egypt Alexandria</dc:title>
  <dc:creator/>
  <dc:language>en</dc:language>
  <cp:keywords/>
  <dcterms:created xsi:type="dcterms:W3CDTF">2026-07-21T12:44:52Z</dcterms:created>
  <dcterms:modified xsi:type="dcterms:W3CDTF">2026-07-21T12:44:52Z</dcterms:modified>
</cp:coreProperties>
</file>

<file path=docProps/custom.xml><?xml version="1.0" encoding="utf-8"?>
<Properties xmlns="http://schemas.openxmlformats.org/officeDocument/2006/custom-properties" xmlns:vt="http://schemas.openxmlformats.org/officeDocument/2006/docPropsVTypes"/>
</file>