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Auditor</w:t>
      </w:r>
      <w:r>
        <w:t xml:space="preserve"> </w:t>
      </w:r>
      <w:r>
        <w:t xml:space="preserve">Excellence</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7" w:name="X1f1d370f60c85b633b8bee841a5c34437e56959"/>
    <w:p>
      <w:pPr>
        <w:pStyle w:val="Heading1"/>
      </w:pPr>
      <w:r>
        <w:t xml:space="preserve">Research Proposal: Enhancing Auditor Credibility and Innovation in Germany Frankfurt's Dynamic Financial Hub</w:t>
      </w:r>
    </w:p>
    <w:p>
      <w:pPr>
        <w:pStyle w:val="FirstParagraph"/>
      </w:pPr>
      <w:r>
        <w:t xml:space="preserve">This Research Proposal** addresses a critical gap in the evolution of the **Auditor** profession within Germany Frankfurt, Europe's premier financial center. As the headquarters of the European Central Bank (ECB), Deutsche Börse, and numerous global banking institutions, Frankfurt demands auditors who navigate complex regulatory landscapes while embracing digital innovation. This study positions **Germany Frankfurt** as the essential geographic and institutional context for understanding how modern **Auditor** practices can be optimized to meet 21st-century financial integrity challenges.</w:t>
      </w:r>
    </w:p>
    <w:bookmarkStart w:id="20" w:name="background-and-problem-statement"/>
    <w:p>
      <w:pPr>
        <w:pStyle w:val="Heading2"/>
      </w:pPr>
      <w:r>
        <w:t xml:space="preserve">Background and Problem Statement</w:t>
      </w:r>
    </w:p>
    <w:p>
      <w:pPr>
        <w:pStyle w:val="FirstParagraph"/>
      </w:pPr>
      <w:r>
        <w:t xml:space="preserve">Germany Frankfurt is not merely a city but the nerve center of European finance, hosting over 50% of Europe's largest banks and major financial regulators. The **Auditor** profession operating here faces unprecedented pressures: stringent EU directives (MiFID II, CSRD), rapid digitalization (AI-driven analytics, blockchain), and heightened stakeholder expectations for ESG transparency. Despite Frankfurt's global significance, empirical research on how local **Auditor** firms adapt to these forces remains fragmented. Existing studies often focus on generic European contexts or U.S.-centric models, neglecting the unique regulatory interplay between BaFin (Federal Financial Supervisory Authority), EU frameworks, and Frankfurt-specific market dynamics. This gap impedes the development of tailored strategies for **Germany Frankfurt**'s financial ecosystem, where audit failures carry systemic risk implications beyond national borders.</w:t>
      </w:r>
    </w:p>
    <w:bookmarkEnd w:id="20"/>
    <w:bookmarkStart w:id="21" w:name="research-objectives"/>
    <w:p>
      <w:pPr>
        <w:pStyle w:val="Heading2"/>
      </w:pPr>
      <w:r>
        <w:t xml:space="preserve">Research Objectives</w:t>
      </w:r>
    </w:p>
    <w:p>
      <w:pPr>
        <w:pStyle w:val="FirstParagraph"/>
      </w:pPr>
      <w:r>
        <w:t xml:space="preserve">This **Research Proposal** aims to achieve three interconnected goals within the Germany Frankfurt context:</w:t>
      </w:r>
    </w:p>
    <w:p>
      <w:pPr>
        <w:numPr>
          <w:ilvl w:val="0"/>
          <w:numId w:val="1001"/>
        </w:numPr>
        <w:pStyle w:val="Compact"/>
      </w:pPr>
      <w:r>
        <w:rPr>
          <w:bCs/>
          <w:b/>
        </w:rPr>
        <w:t xml:space="preserve">Diagnose Current Practices:</w:t>
      </w:r>
      <w:r>
        <w:t xml:space="preserve"> </w:t>
      </w:r>
      <w:r>
        <w:t xml:space="preserve">Map how Frankfurt-based audit firms (e.g., KPMG Frankfurt, PwC Germany, local practices) implement digital tools (AI for anomaly detection, continuous auditing) and ESG integration in compliance with German Audit Standards (DFK) and EU regulations.</w:t>
      </w:r>
    </w:p>
    <w:p>
      <w:pPr>
        <w:numPr>
          <w:ilvl w:val="0"/>
          <w:numId w:val="1001"/>
        </w:numPr>
        <w:pStyle w:val="Compact"/>
      </w:pPr>
      <w:r>
        <w:rPr>
          <w:bCs/>
          <w:b/>
        </w:rPr>
        <w:t xml:space="preserve">Identify Barriers:</w:t>
      </w:r>
      <w:r>
        <w:t xml:space="preserve"> </w:t>
      </w:r>
      <w:r>
        <w:t xml:space="preserve">Analyze institutional hurdles—such as data privacy constraints under GDPR, regulatory fragmentation between BaFin and ECB oversight, or skill gaps in AI literacy—that impede **Auditor** innovation specifically in Germany Frankfurt.</w:t>
      </w:r>
    </w:p>
    <w:p>
      <w:pPr>
        <w:numPr>
          <w:ilvl w:val="0"/>
          <w:numId w:val="1001"/>
        </w:numPr>
        <w:pStyle w:val="Compact"/>
      </w:pPr>
      <w:r>
        <w:rPr>
          <w:bCs/>
          <w:b/>
        </w:rPr>
        <w:t xml:space="preserve">Propose Frameworks:</w:t>
      </w:r>
      <w:r>
        <w:t xml:space="preserve"> </w:t>
      </w:r>
      <w:r>
        <w:t xml:space="preserve">Develop a scalable "Frankfurt Audit Excellence Model" optimizing **Auditor** credibility through technology adoption, cross-border regulatory alignment, and stakeholder communication protocols for the Europe-wide financial hub.</w:t>
      </w:r>
    </w:p>
    <w:bookmarkEnd w:id="21"/>
    <w:bookmarkStart w:id="22" w:name="X1ed424e6d6fc512933c320098b01f38f8d48011"/>
    <w:p>
      <w:pPr>
        <w:pStyle w:val="Heading2"/>
      </w:pPr>
      <w:r>
        <w:t xml:space="preserve">Methodology: Frankfurt-Centric Mixed Methods</w:t>
      </w:r>
    </w:p>
    <w:p>
      <w:pPr>
        <w:pStyle w:val="FirstParagraph"/>
      </w:pPr>
      <w:r>
        <w:t xml:space="preserve">The proposed **Research Proposal** employs a rigorous mixed-methods design centered on Germany Frankfurt:</w:t>
      </w:r>
    </w:p>
    <w:p>
      <w:pPr>
        <w:numPr>
          <w:ilvl w:val="0"/>
          <w:numId w:val="1002"/>
        </w:numPr>
        <w:pStyle w:val="Compact"/>
      </w:pPr>
      <w:r>
        <w:rPr>
          <w:bCs/>
          <w:b/>
        </w:rPr>
        <w:t xml:space="preserve">Quantitative Phase (6 months):</w:t>
      </w:r>
      <w:r>
        <w:t xml:space="preserve"> </w:t>
      </w:r>
      <w:r>
        <w:t xml:space="preserve">Survey 150+ auditors from 30 leading firms headquartered in Germany Frankfurt, measuring adoption rates of digital audit tools, ESG reporting complexity, and regulatory compliance costs. Data will be triangulated with publicly available BaFin reports on audit quality metrics.</w:t>
      </w:r>
    </w:p>
    <w:p>
      <w:pPr>
        <w:numPr>
          <w:ilvl w:val="0"/>
          <w:numId w:val="1002"/>
        </w:numPr>
        <w:pStyle w:val="Compact"/>
      </w:pPr>
      <w:r>
        <w:rPr>
          <w:bCs/>
          <w:b/>
        </w:rPr>
        <w:t xml:space="preserve">Qualitative Phase (5 months):</w:t>
      </w:r>
      <w:r>
        <w:t xml:space="preserve"> </w:t>
      </w:r>
      <w:r>
        <w:t xml:space="preserve">Conduct 40 in-depth interviews with key stakeholders: partners at Frankfurt-based Big Four firms, BaFin supervisory officers, corporate finance directors from DAX-listed companies (e.g., Deutsche Bank, Siemens), and tech providers of audit software. Focus will be on identifying "pain points" unique to Germany Frankfurt's ecosystem.</w:t>
      </w:r>
    </w:p>
    <w:p>
      <w:pPr>
        <w:numPr>
          <w:ilvl w:val="0"/>
          <w:numId w:val="1002"/>
        </w:numPr>
        <w:pStyle w:val="Compact"/>
      </w:pPr>
      <w:r>
        <w:rPr>
          <w:bCs/>
          <w:b/>
        </w:rPr>
        <w:t xml:space="preserve">Case Study Analysis:</w:t>
      </w:r>
      <w:r>
        <w:t xml:space="preserve"> </w:t>
      </w:r>
      <w:r>
        <w:t xml:space="preserve">Three deep-dive case studies of high-impact audits conducted in Germany Frankfurt (e.g., a major bank’s MiFID II compliance audit, an ESG reporting audit for a DAX 30 firm), examining how the **Auditor**'s approach influenced risk mitigation and stakeholder trust.</w:t>
      </w:r>
    </w:p>
    <w:bookmarkEnd w:id="22"/>
    <w:bookmarkStart w:id="23" w:name="significance-why-germany-frankfurt"/>
    <w:p>
      <w:pPr>
        <w:pStyle w:val="Heading2"/>
      </w:pPr>
      <w:r>
        <w:t xml:space="preserve">Significance: Why Germany Frankfurt?</w:t>
      </w:r>
    </w:p>
    <w:p>
      <w:pPr>
        <w:pStyle w:val="FirstParagraph"/>
      </w:pPr>
      <w:r>
        <w:t xml:space="preserve">Frankfurt is not just a location—it is the epicenter where global finance, EU policy, and national regulation converge. A failure in auditor oversight here risks destabilizing European markets. This research directly addresses why **Germany Frankfurt** must be the laboratory for next-generation auditing:</w:t>
      </w:r>
    </w:p>
    <w:p>
      <w:pPr>
        <w:numPr>
          <w:ilvl w:val="0"/>
          <w:numId w:val="1003"/>
        </w:numPr>
        <w:pStyle w:val="Compact"/>
      </w:pPr>
      <w:r>
        <w:rPr>
          <w:bCs/>
          <w:b/>
        </w:rPr>
        <w:t xml:space="preserve">Regulatory Crucible:</w:t>
      </w:r>
      <w:r>
        <w:t xml:space="preserve"> </w:t>
      </w:r>
      <w:r>
        <w:t xml:space="preserve">Frankfurt hosts ECB’s single supervisory mechanism, making it the frontline for EU regulatory enforcement. Understanding how **Auditor** firms interact with this dual BaFin-ECB oversight is critical for systemic stability.</w:t>
      </w:r>
    </w:p>
    <w:p>
      <w:pPr>
        <w:numPr>
          <w:ilvl w:val="0"/>
          <w:numId w:val="1003"/>
        </w:numPr>
        <w:pStyle w:val="Compact"/>
      </w:pPr>
      <w:r>
        <w:rPr>
          <w:bCs/>
          <w:b/>
        </w:rPr>
        <w:t xml:space="preserve">Economic Impact:</w:t>
      </w:r>
      <w:r>
        <w:t xml:space="preserve"> </w:t>
      </w:r>
      <w:r>
        <w:t xml:space="preserve">The Frankfurt financial sector contributes €300+ billion annually to Germany’s GDP. Enhanced auditor credibility here reduces capital costs for firms, attracting global investment and reinforcing **Germany Frankfurt**’s status as Europe’s premier finance hub.</w:t>
      </w:r>
    </w:p>
    <w:p>
      <w:pPr>
        <w:numPr>
          <w:ilvl w:val="0"/>
          <w:numId w:val="1003"/>
        </w:numPr>
        <w:pStyle w:val="Compact"/>
      </w:pPr>
      <w:r>
        <w:rPr>
          <w:bCs/>
          <w:b/>
        </w:rPr>
        <w:t xml:space="preserve">Global Relevance:</w:t>
      </w:r>
      <w:r>
        <w:t xml:space="preserve"> </w:t>
      </w:r>
      <w:r>
        <w:t xml:space="preserve">Findings will inform not only German firms but also EU-wide standards (e.g., the upcoming EU Audit Regulation), positioning Germany Frankfurt as a model for financial integrity in digital economies.</w:t>
      </w:r>
    </w:p>
    <w:bookmarkEnd w:id="23"/>
    <w:bookmarkStart w:id="24" w:name="expected-outcomes-and-dissemination"/>
    <w:p>
      <w:pPr>
        <w:pStyle w:val="Heading2"/>
      </w:pPr>
      <w:r>
        <w:t xml:space="preserve">Expected Outcomes and Dissemination</w:t>
      </w:r>
    </w:p>
    <w:p>
      <w:pPr>
        <w:pStyle w:val="FirstParagraph"/>
      </w:pPr>
      <w:r>
        <w:t xml:space="preserve">This **Research Proposal** anticipates delivering:</w:t>
      </w:r>
    </w:p>
    <w:p>
      <w:pPr>
        <w:numPr>
          <w:ilvl w:val="0"/>
          <w:numId w:val="1004"/>
        </w:numPr>
        <w:pStyle w:val="Compact"/>
      </w:pPr>
      <w:r>
        <w:t xml:space="preserve">A publicly accessible "Frankfurt Audit Readiness Index" scoring firms on digital maturity, ESG integration, and regulatory agility.</w:t>
      </w:r>
    </w:p>
    <w:p>
      <w:pPr>
        <w:numPr>
          <w:ilvl w:val="0"/>
          <w:numId w:val="1004"/>
        </w:numPr>
        <w:pStyle w:val="Compact"/>
      </w:pPr>
      <w:r>
        <w:t xml:space="preserve">Actionable guidelines for **Auditor** firms in Germany Frankfurt to navigate BaFin’s evolving expectations (e.g., for AI audits under DFK 1204).</w:t>
      </w:r>
    </w:p>
    <w:p>
      <w:pPr>
        <w:numPr>
          <w:ilvl w:val="0"/>
          <w:numId w:val="1004"/>
        </w:numPr>
        <w:pStyle w:val="Compact"/>
      </w:pPr>
      <w:r>
        <w:t xml:space="preserve">Policy briefs for BaFin and the ECB on harmonizing cross-border audit oversight frameworks, directly influencing future regulations.</w:t>
      </w:r>
    </w:p>
    <w:p>
      <w:pPr>
        <w:pStyle w:val="FirstParagraph"/>
      </w:pPr>
      <w:r>
        <w:t xml:space="preserve">All outputs will be disseminated through high-impact channels: workshops at Frankfurt School of Finance &amp; Management, publications in *Journal of International Accounting Research*, and direct policy engagement with Frankfurt’s financial cluster initiatives. Crucially, results will be co-created with stakeholders—ensuring the **Research Proposal** translates academic insight into tangible practice for **Auditor**s operating in Germany Frankfurt.</w:t>
      </w:r>
    </w:p>
    <w:bookmarkEnd w:id="24"/>
    <w:bookmarkStart w:id="25" w:name="timeline-and-resources"/>
    <w:p>
      <w:pPr>
        <w:pStyle w:val="Heading2"/>
      </w:pPr>
      <w:r>
        <w:t xml:space="preserve">Timeline and Resources</w:t>
      </w:r>
    </w:p>
    <w:p>
      <w:pPr>
        <w:pStyle w:val="FirstParagraph"/>
      </w:pPr>
      <w:r>
        <w:t xml:space="preserve">The 18-month project begins with stakeholder mapping in Frankfurt (Month 1), followed by data collection (Months 3-10). A mid-term workshop at Deutsche Börse’s headquarters will validate preliminary findings. Budget allocation prioritizes on-site research in Germany Frankfurt, including travel for fieldwork and access to BaFin-verified datasets. Partnerships with the Frankfurt Chamber of Commerce and DFK Institute guarantee local credibility.</w:t>
      </w:r>
    </w:p>
    <w:bookmarkEnd w:id="25"/>
    <w:bookmarkStart w:id="26" w:name="Xfcd368738c4764732b1e5eddf648cc5b6915ccf"/>
    <w:p>
      <w:pPr>
        <w:pStyle w:val="Heading2"/>
      </w:pPr>
      <w:r>
        <w:t xml:space="preserve">Conclusion: The Imperative for Auditor Evolution</w:t>
      </w:r>
    </w:p>
    <w:p>
      <w:pPr>
        <w:pStyle w:val="FirstParagraph"/>
      </w:pPr>
      <w:r>
        <w:t xml:space="preserve">As **Germany Frankfurt** continues to anchor Europe’s financial architecture, the role of the modern **Auditor** transcends compliance—it is a strategic pillar for trust. This **Research Proposal** delivers more than academic insight; it provides an actionable roadmap for auditors to become proactive partners in building a resilient, transparent financial ecosystem. By centering the study on Germany Frankfurt's unique nexus of finance and regulation, we ensure findings are not just relevant but revolutionary—for auditors globally seeking to operate at the heart of Europe’s economic engine. The time for context-specific auditor research is now; Germany Frankfurt is where it must begin.</w:t>
      </w:r>
    </w:p>
    <w:p>
      <w:pPr>
        <w:pStyle w:val="BodyText"/>
      </w:pPr>
      <w:r>
        <w:rPr>
          <w:iCs/>
          <w:i/>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Auditor Excellence in Germany Frankfurt's Financial Ecosystem</dc:title>
  <dc:creator/>
  <dc:language>en</dc:language>
  <cp:keywords/>
  <dcterms:created xsi:type="dcterms:W3CDTF">2026-07-19T21:04:39Z</dcterms:created>
  <dcterms:modified xsi:type="dcterms:W3CDTF">2026-07-19T21:04:39Z</dcterms:modified>
</cp:coreProperties>
</file>

<file path=docProps/custom.xml><?xml version="1.0" encoding="utf-8"?>
<Properties xmlns="http://schemas.openxmlformats.org/officeDocument/2006/custom-properties" xmlns:vt="http://schemas.openxmlformats.org/officeDocument/2006/docPropsVTypes"/>
</file>