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Integration</w:t>
      </w:r>
      <w:r>
        <w:t xml:space="preserve"> </w:t>
      </w:r>
      <w:r>
        <w:t xml:space="preserve">of</w:t>
      </w:r>
      <w:r>
        <w:t xml:space="preserve"> </w:t>
      </w:r>
      <w:r>
        <w:t xml:space="preserve">Digital</w:t>
      </w:r>
      <w:r>
        <w:t xml:space="preserve"> </w:t>
      </w:r>
      <w:r>
        <w:t xml:space="preserve">Auditing</w:t>
      </w:r>
      <w:r>
        <w:t xml:space="preserve"> </w:t>
      </w:r>
      <w:r>
        <w:t xml:space="preserve">Frameworks</w:t>
      </w:r>
      <w:r>
        <w:t xml:space="preserve"> </w:t>
      </w:r>
      <w:r>
        <w:t xml:space="preserve">for</w:t>
      </w:r>
      <w:r>
        <w:t xml:space="preserve"> </w:t>
      </w:r>
      <w:r>
        <w:t xml:space="preserve">Auditors</w:t>
      </w:r>
      <w:r>
        <w:t xml:space="preserve"> </w:t>
      </w:r>
      <w:r>
        <w:t xml:space="preserve">in</w:t>
      </w:r>
      <w:r>
        <w:t xml:space="preserve"> </w:t>
      </w:r>
      <w:r>
        <w:t xml:space="preserve">Germany</w:t>
      </w:r>
      <w:r>
        <w:t xml:space="preserve"> </w:t>
      </w:r>
      <w:r>
        <w:t xml:space="preserve">Munich</w:t>
      </w:r>
    </w:p>
    <w:bookmarkStart w:id="29" w:name="X07ff2b6f039fa6e8aaf26d5ce9281cc3d6f266d"/>
    <w:p>
      <w:pPr>
        <w:pStyle w:val="Heading1"/>
      </w:pPr>
      <w:r>
        <w:t xml:space="preserve">Research Proposal: Strategic Integration of Digital Auditing Frameworks for Auditors in Germany Munich</w:t>
      </w:r>
    </w:p>
    <w:bookmarkStart w:id="20" w:name="abstract"/>
    <w:p>
      <w:pPr>
        <w:pStyle w:val="Heading2"/>
      </w:pPr>
      <w:r>
        <w:t xml:space="preserve">Abstract</w:t>
      </w:r>
    </w:p>
    <w:p>
      <w:pPr>
        <w:pStyle w:val="FirstParagraph"/>
      </w:pPr>
      <w:r>
        <w:t xml:space="preserve">This Research Proposal outlines a comprehensive study on the evolving role of the Auditor within the German corporate landscape, with a specialized focus on Munich as a strategic European business hub. The research addresses critical gaps in understanding how digital transformation and regulatory compliance intersect with auditing practices in Germany Munich. By examining current methodologies, technological adoption, and stakeholder expectations, this project will develop a tailored framework for Auditors operating in Munich's dynamic ecosystem of DAX-listed companies, multinationals, and innovative SMEs. The findings will directly inform best practices for Auditors navigating the complex regulatory environment of Germany while leveraging Munich's position as a center for finance, technology, and European governance.</w:t>
      </w:r>
    </w:p>
    <w:bookmarkEnd w:id="20"/>
    <w:bookmarkStart w:id="21" w:name="X864aaf49e1c4b3febc0b072ea43b9e628f6a613"/>
    <w:p>
      <w:pPr>
        <w:pStyle w:val="Heading2"/>
      </w:pPr>
      <w:r>
        <w:t xml:space="preserve">1. Introduction: The Imperative for Advanced Auditing in Germany Munich</w:t>
      </w:r>
    </w:p>
    <w:p>
      <w:pPr>
        <w:pStyle w:val="FirstParagraph"/>
      </w:pPr>
      <w:r>
        <w:t xml:space="preserve">Munich stands as a pivotal economic engine within Germany and Europe, hosting headquarters of global giants like BMW Group, Siemens AG, Allianz SE, and numerous innovative startups. This concentration creates an exceptionally demanding environment for the Auditor. The traditional role of the Auditor has evolved significantly beyond mere financial statement verification; today's Auditor must navigate stringent German legal frameworks (including HGB - Handelsgesetzbuch), international standards (ISA - International Standards on Auditing), GDPR data privacy regulations, and increasing stakeholder demands for ESG transparency. This Research Proposal directly confronts the challenge: How can Auditors operating within Germany Munich proactively adapt their methodologies to ensure audit quality, efficiency, and relevance in this high-stakes environment? The unique confluence of regulatory rigor, technological acceleration, and Munich's specific business culture necessitates focused research.</w:t>
      </w:r>
    </w:p>
    <w:bookmarkEnd w:id="21"/>
    <w:bookmarkStart w:id="22" w:name="problem-statement"/>
    <w:p>
      <w:pPr>
        <w:pStyle w:val="Heading2"/>
      </w:pPr>
      <w:r>
        <w:t xml:space="preserve">2. Problem Statement</w:t>
      </w:r>
    </w:p>
    <w:p>
      <w:pPr>
        <w:pStyle w:val="FirstParagraph"/>
      </w:pPr>
      <w:r>
        <w:t xml:space="preserve">Despite Germany's robust auditing profession governed by the German Auditing Standards (Deutsche Nachweisbarkeitsvorschriften - DNV) and the strict oversight of the Federal Financial Supervisory Authority (BaFin), significant challenges persist for the Auditor in Munich. Key issues include:</w:t>
      </w:r>
    </w:p>
    <w:p>
      <w:pPr>
        <w:numPr>
          <w:ilvl w:val="0"/>
          <w:numId w:val="1001"/>
        </w:numPr>
        <w:pStyle w:val="Compact"/>
      </w:pPr>
      <w:r>
        <w:rPr>
          <w:bCs/>
          <w:b/>
        </w:rPr>
        <w:t xml:space="preserve">Fragmented Digital Adoption:</w:t>
      </w:r>
      <w:r>
        <w:t xml:space="preserve"> </w:t>
      </w:r>
      <w:r>
        <w:t xml:space="preserve">While many Munich-based corporations invest heavily in ERP systems (SAP, Oracle), integration with advanced audit analytics tools remains inconsistent, leading to inefficiencies and potential oversight gaps for the Auditor.</w:t>
      </w:r>
    </w:p>
    <w:p>
      <w:pPr>
        <w:numPr>
          <w:ilvl w:val="0"/>
          <w:numId w:val="1001"/>
        </w:numPr>
        <w:pStyle w:val="Compact"/>
      </w:pPr>
      <w:r>
        <w:rPr>
          <w:bCs/>
          <w:b/>
        </w:rPr>
        <w:t xml:space="preserve">Regulatory Complexity:</w:t>
      </w:r>
      <w:r>
        <w:t xml:space="preserve"> </w:t>
      </w:r>
      <w:r>
        <w:t xml:space="preserve">The interplay between German-specific HGB requirements, EU directives (e.g., CSRD - Corporate Sustainability Reporting Directive), and international standards creates ambiguity that can strain Audit teams.</w:t>
      </w:r>
    </w:p>
    <w:p>
      <w:pPr>
        <w:numPr>
          <w:ilvl w:val="0"/>
          <w:numId w:val="1001"/>
        </w:numPr>
        <w:pStyle w:val="Compact"/>
      </w:pPr>
      <w:r>
        <w:rPr>
          <w:bCs/>
          <w:b/>
        </w:rPr>
        <w:t xml:space="preserve">Evolving Stakeholder Expectations:</w:t>
      </w:r>
      <w:r>
        <w:t xml:space="preserve"> </w:t>
      </w:r>
      <w:r>
        <w:t xml:space="preserve">Investors, regulators, and the public in Munich demand deeper insights beyond compliance (e.g., data-driven risk assessment, sustainability assurance), which current Auditor practices often struggle to deliver consistently.</w:t>
      </w:r>
    </w:p>
    <w:p>
      <w:pPr>
        <w:pStyle w:val="FirstParagraph"/>
      </w:pPr>
      <w:r>
        <w:t xml:space="preserve">The lack of localized research on optimizing the Auditor's toolkit specifically for the Germany Munich context hinders professional development and organizational effectiveness.</w:t>
      </w:r>
    </w:p>
    <w:bookmarkEnd w:id="22"/>
    <w:bookmarkStart w:id="23" w:name="research-objectives"/>
    <w:p>
      <w:pPr>
        <w:pStyle w:val="Heading2"/>
      </w:pPr>
      <w:r>
        <w:t xml:space="preserve">3. Research Objectives</w:t>
      </w:r>
    </w:p>
    <w:p>
      <w:pPr>
        <w:pStyle w:val="FirstParagraph"/>
      </w:pPr>
      <w:r>
        <w:t xml:space="preserve">This study aims to achieve three primary objectives:</w:t>
      </w:r>
    </w:p>
    <w:p>
      <w:pPr>
        <w:numPr>
          <w:ilvl w:val="0"/>
          <w:numId w:val="1002"/>
        </w:numPr>
        <w:pStyle w:val="Compact"/>
      </w:pPr>
      <w:r>
        <w:rPr>
          <w:bCs/>
          <w:b/>
        </w:rPr>
        <w:t xml:space="preserve">Map Current Practices:</w:t>
      </w:r>
      <w:r>
        <w:t xml:space="preserve"> </w:t>
      </w:r>
      <w:r>
        <w:t xml:space="preserve">Systematically document the digital tools, methodologies, and challenges currently employed by Auditors in Munich-based firms across various industry sectors.</w:t>
      </w:r>
    </w:p>
    <w:p>
      <w:pPr>
        <w:numPr>
          <w:ilvl w:val="0"/>
          <w:numId w:val="1002"/>
        </w:numPr>
        <w:pStyle w:val="Compact"/>
      </w:pPr>
      <w:r>
        <w:rPr>
          <w:bCs/>
          <w:b/>
        </w:rPr>
        <w:t xml:space="preserve">Identify Best Practices &amp; Gaps:</w:t>
      </w:r>
      <w:r>
        <w:t xml:space="preserve"> </w:t>
      </w:r>
      <w:r>
        <w:t xml:space="preserve">Analyze successful integrations of technology (AI for anomaly detection, continuous auditing) and regulatory navigation within Germany Munich to define benchmarks for effective Auditor performance.</w:t>
      </w:r>
    </w:p>
    <w:p>
      <w:pPr>
        <w:numPr>
          <w:ilvl w:val="0"/>
          <w:numId w:val="1002"/>
        </w:numPr>
        <w:pStyle w:val="Compact"/>
      </w:pPr>
      <w:r>
        <w:rPr>
          <w:bCs/>
          <w:b/>
        </w:rPr>
        <w:t xml:space="preserve">Develop a Munich-Specific Framework:</w:t>
      </w:r>
      <w:r>
        <w:t xml:space="preserve"> </w:t>
      </w:r>
      <w:r>
        <w:t xml:space="preserve">Create a practical, actionable framework for Auditors operating in Germany Munich that enhances audit quality, efficiency, and value-add through technology and contextual understanding of the local business environment.</w:t>
      </w:r>
    </w:p>
    <w:bookmarkEnd w:id="23"/>
    <w:bookmarkStart w:id="24" w:name="literature-review-theoretical-foundation"/>
    <w:p>
      <w:pPr>
        <w:pStyle w:val="Heading2"/>
      </w:pPr>
      <w:r>
        <w:t xml:space="preserve">4. Literature Review &amp; Theoretical Foundation</w:t>
      </w:r>
    </w:p>
    <w:p>
      <w:pPr>
        <w:pStyle w:val="FirstParagraph"/>
      </w:pPr>
      <w:r>
        <w:t xml:space="preserve">The research builds upon established auditing theory (e.g., the Audit Expectation Gap literature) while focusing on the unique German context. Key references include:</w:t>
      </w:r>
    </w:p>
    <w:p>
      <w:pPr>
        <w:numPr>
          <w:ilvl w:val="0"/>
          <w:numId w:val="1003"/>
        </w:numPr>
        <w:pStyle w:val="Compact"/>
      </w:pPr>
      <w:r>
        <w:t xml:space="preserve">German Auditing Standards (DNV) and their alignment with ISA.</w:t>
      </w:r>
    </w:p>
    <w:p>
      <w:pPr>
        <w:numPr>
          <w:ilvl w:val="0"/>
          <w:numId w:val="1003"/>
        </w:numPr>
        <w:pStyle w:val="Compact"/>
      </w:pPr>
      <w:r>
        <w:t xml:space="preserve">Studies on GDPR impacts on audit data handling in Germany (e.g., Schmidt &amp; Wagner, 2023).</w:t>
      </w:r>
    </w:p>
    <w:p>
      <w:pPr>
        <w:numPr>
          <w:ilvl w:val="0"/>
          <w:numId w:val="1003"/>
        </w:numPr>
        <w:pStyle w:val="Compact"/>
      </w:pPr>
      <w:r>
        <w:t xml:space="preserve">Research on AI adoption in European auditing (e.g., EY's Global Audit Trends reports, focusing on DACH region findings).</w:t>
      </w:r>
    </w:p>
    <w:p>
      <w:pPr>
        <w:numPr>
          <w:ilvl w:val="0"/>
          <w:numId w:val="1003"/>
        </w:numPr>
        <w:pStyle w:val="Compact"/>
      </w:pPr>
      <w:r>
        <w:t xml:space="preserve">Literature exploring the specific business culture of Munich and its impact on corporate governance (e.g., studies by the Munich School of Management).</w:t>
      </w:r>
    </w:p>
    <w:p>
      <w:pPr>
        <w:pStyle w:val="FirstParagraph"/>
      </w:pPr>
      <w:r>
        <w:t xml:space="preserve">This review confirms a significant gap: while general digital auditing trends are documented globally, there is scant focused research on the practical implementation challenges and successes specifically for Auditors operating within the intricate regulatory tapestry of Germany Munich.</w:t>
      </w:r>
    </w:p>
    <w:bookmarkEnd w:id="24"/>
    <w:bookmarkStart w:id="25" w:name="methodology"/>
    <w:p>
      <w:pPr>
        <w:pStyle w:val="Heading2"/>
      </w:pPr>
      <w:r>
        <w:t xml:space="preserve">5. Methodology</w:t>
      </w:r>
    </w:p>
    <w:p>
      <w:pPr>
        <w:pStyle w:val="FirstParagraph"/>
      </w:pPr>
      <w:r>
        <w:t xml:space="preserve">This mixed-methods study employs a sequential design:</w:t>
      </w:r>
    </w:p>
    <w:p>
      <w:pPr>
        <w:numPr>
          <w:ilvl w:val="0"/>
          <w:numId w:val="1004"/>
        </w:numPr>
        <w:pStyle w:val="Compact"/>
      </w:pPr>
      <w:r>
        <w:rPr>
          <w:bCs/>
          <w:b/>
        </w:rPr>
        <w:t xml:space="preserve">Phase 1 (Qualitative):</w:t>
      </w:r>
      <w:r>
        <w:t xml:space="preserve"> </w:t>
      </w:r>
      <w:r>
        <w:t xml:space="preserve">In-depth, semi-structured interviews with 30+ key stakeholders: Senior Auditors from major German firms (PwC Munich, Deloitte Munich, EY Germany), Audit Committee members of Munich-based DAX companies, and representatives from BaFin and the German Association of Public Accountants (IDW). This identifies pain points and current strategies.</w:t>
      </w:r>
    </w:p>
    <w:p>
      <w:pPr>
        <w:numPr>
          <w:ilvl w:val="0"/>
          <w:numId w:val="1004"/>
        </w:numPr>
        <w:pStyle w:val="Compact"/>
      </w:pPr>
      <w:r>
        <w:rPr>
          <w:bCs/>
          <w:b/>
        </w:rPr>
        <w:t xml:space="preserve">Phase 2 (Quantitative):</w:t>
      </w:r>
      <w:r>
        <w:t xml:space="preserve"> </w:t>
      </w:r>
      <w:r>
        <w:t xml:space="preserve">A structured survey distributed to 150+ Auditors across Munich-based audit firms, assessing tool usage, perceived efficiency gains/losses, regulatory challenges, and training needs.</w:t>
      </w:r>
    </w:p>
    <w:p>
      <w:pPr>
        <w:numPr>
          <w:ilvl w:val="0"/>
          <w:numId w:val="1004"/>
        </w:numPr>
        <w:pStyle w:val="Compact"/>
      </w:pPr>
      <w:r>
        <w:rPr>
          <w:bCs/>
          <w:b/>
        </w:rPr>
        <w:t xml:space="preserve">Phase 3 (Development &amp; Validation):</w:t>
      </w:r>
      <w:r>
        <w:t xml:space="preserve"> </w:t>
      </w:r>
      <w:r>
        <w:t xml:space="preserve">Co-creation workshops with selected participants to develop and refine the proposed Munich-specific Auditor framework. A pilot implementation with two Munich-based audit firms will test feasibility.</w:t>
      </w:r>
    </w:p>
    <w:p>
      <w:pPr>
        <w:pStyle w:val="FirstParagraph"/>
      </w:pPr>
      <w:r>
        <w:t xml:space="preserve">Data analysis will utilize thematic analysis for qualitative data and statistical analysis (SPSS) for survey data, ensuring robust findings grounded in the Germany Munich reality.</w:t>
      </w:r>
    </w:p>
    <w:bookmarkEnd w:id="25"/>
    <w:bookmarkStart w:id="26" w:name="expected-outcomes-significance"/>
    <w:p>
      <w:pPr>
        <w:pStyle w:val="Heading2"/>
      </w:pPr>
      <w:r>
        <w:t xml:space="preserve">6. Expected Outcomes &amp; Significance</w:t>
      </w:r>
    </w:p>
    <w:p>
      <w:pPr>
        <w:pStyle w:val="FirstParagraph"/>
      </w:pPr>
      <w:r>
        <w:t xml:space="preserve">This Research Proposal anticipates delivering:</w:t>
      </w:r>
    </w:p>
    <w:p>
      <w:pPr>
        <w:numPr>
          <w:ilvl w:val="0"/>
          <w:numId w:val="1005"/>
        </w:numPr>
        <w:pStyle w:val="Compact"/>
      </w:pPr>
      <w:r>
        <w:t xml:space="preserve">A comprehensive benchmark report on digital audit tool adoption by Auditors in Germany Munich.</w:t>
      </w:r>
    </w:p>
    <w:p>
      <w:pPr>
        <w:numPr>
          <w:ilvl w:val="0"/>
          <w:numId w:val="1005"/>
        </w:numPr>
        <w:pStyle w:val="Compact"/>
      </w:pPr>
      <w:r>
        <w:t xml:space="preserve">A validated, context-specific framework (the "Munich Auditor Integration Framework" - MAIF) for enhancing audit efficiency, compliance, and strategic value.</w:t>
      </w:r>
    </w:p>
    <w:p>
      <w:pPr>
        <w:numPr>
          <w:ilvl w:val="0"/>
          <w:numId w:val="1005"/>
        </w:numPr>
        <w:pStyle w:val="Compact"/>
      </w:pPr>
      <w:r>
        <w:t xml:space="preserve">Clear recommendations for professional development programs tailored to Munich's Auditor needs (e.g., integrating German legal nuances with data analytics training).</w:t>
      </w:r>
    </w:p>
    <w:p>
      <w:pPr>
        <w:numPr>
          <w:ilvl w:val="0"/>
          <w:numId w:val="1005"/>
        </w:numPr>
        <w:pStyle w:val="Compact"/>
      </w:pPr>
      <w:r>
        <w:t xml:space="preserve">Enhanced understanding of how the role of the Auditor can evolve from a compliance function to a proactive risk management partner within Munich's business ecosystem.</w:t>
      </w:r>
    </w:p>
    <w:p>
      <w:pPr>
        <w:pStyle w:val="FirstParagraph"/>
      </w:pPr>
      <w:r>
        <w:t xml:space="preserve">The significance for Germany and specifically Munich is profound. A more effective, digitally adept Auditor strengthens market integrity, builds investor confidence in German capital markets (centrally anchored in Munich), supports sustainable business practices demanded by European regulations (like CSRD), and positions Germany as a leader in high-quality professional services.</w:t>
      </w:r>
    </w:p>
    <w:bookmarkEnd w:id="26"/>
    <w:bookmarkStart w:id="27" w:name="conclusion"/>
    <w:p>
      <w:pPr>
        <w:pStyle w:val="Heading2"/>
      </w:pPr>
      <w:r>
        <w:t xml:space="preserve">7. Conclusion</w:t>
      </w:r>
    </w:p>
    <w:p>
      <w:pPr>
        <w:pStyle w:val="FirstParagraph"/>
      </w:pPr>
      <w:r>
        <w:t xml:space="preserve">The role of the Auditor within Germany Munich is at a critical inflection point. The complexity of the local regulatory environment, coupled with rapid technological change, demands proactive research and innovation. This Research Proposal provides a necessary roadmap for understanding and optimizing how Auditors operate in one of Europe's most significant corporate centers. By focusing specifically on the unique dynamics of Germany Munich – its concentration of global firms, stringent legal framework, and vibrant innovation scene – this study will generate actionable insights directly applicable to practitioners. The resulting framework promises to elevate the standards, efficiency, and strategic contribution of Auditors across Munich and serve as a model for other major financial hubs within Germany. This research is not merely academic; it is essential for maintaining the credibility of German capital markets and ensuring Munich remains a trusted center for global business governance.</w:t>
      </w:r>
    </w:p>
    <w:bookmarkEnd w:id="27"/>
    <w:bookmarkStart w:id="28" w:name="timeline-resources-summary"/>
    <w:p>
      <w:pPr>
        <w:pStyle w:val="Heading2"/>
      </w:pPr>
      <w:r>
        <w:t xml:space="preserve">8. Timeline &amp; Resources (Summary)</w:t>
      </w:r>
    </w:p>
    <w:p>
      <w:pPr>
        <w:pStyle w:val="FirstParagraph"/>
      </w:pPr>
      <w:r>
        <w:t xml:space="preserve">Over 18 months, utilizing a dedicated research team based in Munich, collaborating with local academic institutions (LMU Munich, TUM), and leveraging industry partnerships. Estimated budget: €150,000 covering personnel, travel for stakeholder interviews across Bavaria, software tools for data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Integration of Digital Auditing Frameworks for Auditors in Germany Munich</dc:title>
  <dc:creator/>
  <dc:language>en</dc:language>
  <cp:keywords/>
  <dcterms:created xsi:type="dcterms:W3CDTF">2026-09-25T05:09:34Z</dcterms:created>
  <dcterms:modified xsi:type="dcterms:W3CDTF">2026-09-25T05:09:34Z</dcterms:modified>
</cp:coreProperties>
</file>

<file path=docProps/custom.xml><?xml version="1.0" encoding="utf-8"?>
<Properties xmlns="http://schemas.openxmlformats.org/officeDocument/2006/custom-properties" xmlns:vt="http://schemas.openxmlformats.org/officeDocument/2006/docPropsVTypes"/>
</file>