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9" w:name="Xb5e15001097d16af4ef52ae6b256962077e4abe"/>
    <w:p>
      <w:pPr>
        <w:pStyle w:val="Heading1"/>
      </w:pPr>
      <w:r>
        <w:t xml:space="preserve">Research Proposal: Evolving Role and Challenges of the Auditor in India Mumbai's Financial Ecosystem</w:t>
      </w:r>
    </w:p>
    <w:bookmarkStart w:id="20" w:name="abstract"/>
    <w:p>
      <w:pPr>
        <w:pStyle w:val="Heading2"/>
      </w:pPr>
      <w:r>
        <w:t xml:space="preserve">Abstract</w:t>
      </w:r>
    </w:p>
    <w:p>
      <w:pPr>
        <w:pStyle w:val="FirstParagraph"/>
      </w:pPr>
      <w:r>
        <w:t xml:space="preserve">This research proposal investigates the critical challenges, regulatory dynamics, and future trajectory of the Auditor within India Mumbai's complex financial landscape. As the epicenter of Indian finance, Mumbai hosts over 80% of the nation's listed companies and major multinational corporations. This study aims to analyze how contemporary pressures—from stringent regulatory frameworks (including Companies Act 2013 and SEBI guidelines) to technological disruption—impact Auditor effectiveness, independence, and ethical standards. The findings will provide actionable insights for auditors operating in India Mumbai, contributing to enhanced financial transparency in the nation's premier economic hub.</w:t>
      </w:r>
    </w:p>
    <w:bookmarkEnd w:id="20"/>
    <w:bookmarkStart w:id="21" w:name="introduction"/>
    <w:p>
      <w:pPr>
        <w:pStyle w:val="Heading2"/>
      </w:pPr>
      <w:r>
        <w:t xml:space="preserve">Introduction</w:t>
      </w:r>
    </w:p>
    <w:p>
      <w:pPr>
        <w:pStyle w:val="FirstParagraph"/>
      </w:pPr>
      <w:r>
        <w:t xml:space="preserve">Mumbai stands as the undisputed financial capital of India, housing the Bombay Stock Exchange (BSE), National Stock Exchange (NSE), Reserve Bank of India (RBI) headquarters, and global banking giants. Within this high-stakes environment, the role of the Auditor transcends routine compliance; it is a cornerstone of investor confidence and market integrity. This Research Proposal examines how the Auditor in India Mumbai navigates unique pressures including rapidly evolving regulatory mandates, complex cross-border transactions, and heightened scrutiny from regulators like MCA (Ministry of Corporate Affairs) and SEBI. The study recognizes that Mumbai's distinct ecosystem—characterized by dense financial activity, diverse corporate structures, and intense competition—demands a nuanced understanding of the Auditor's evolving responsibilities.</w:t>
      </w:r>
    </w:p>
    <w:bookmarkEnd w:id="21"/>
    <w:bookmarkStart w:id="22" w:name="problem-statement"/>
    <w:p>
      <w:pPr>
        <w:pStyle w:val="Heading2"/>
      </w:pPr>
      <w:r>
        <w:t xml:space="preserve">Problem Statement</w:t>
      </w:r>
    </w:p>
    <w:p>
      <w:pPr>
        <w:pStyle w:val="FirstParagraph"/>
      </w:pPr>
      <w:r>
        <w:t xml:space="preserve">Despite India’s progressive regulatory reforms (e.g., introduction of Ind-AS, enhanced audit committee norms), significant gaps persist in Auditor effectiveness within Mumbai. Recent cases of financial misstatements by prominent Mumbai-based entities highlight vulnerabilities in audit quality. Key challenges include: (1) Inadequate technological adoption among mid-tier auditors; (2) Pressure to meet aggressive client deadlines compromising due diligence; (3) Ambiguity in applying new standards like the Auditing Standards Board’s AS 240 for fraud detection within Mumbai's SME-heavy market; and (4) Balancing local Maharashtra state tax regulations with national accounting norms. These issues threaten Mumbai’s reputation as a trustworthy financial center, directly impacting India's global investment appeal.</w:t>
      </w:r>
    </w:p>
    <w:bookmarkEnd w:id="22"/>
    <w:bookmarkStart w:id="23" w:name="literature-review"/>
    <w:p>
      <w:pPr>
        <w:pStyle w:val="Heading2"/>
      </w:pPr>
      <w:r>
        <w:t xml:space="preserve">Literature Review</w:t>
      </w:r>
    </w:p>
    <w:p>
      <w:pPr>
        <w:pStyle w:val="FirstParagraph"/>
      </w:pPr>
      <w:r>
        <w:t xml:space="preserve">Existing literature on auditing in India primarily focuses on national trends (e.g., studies by ICAI and NACAS), often overlooking Mumbai's micro-context. While research exists on Auditor independence post-Enron (Chakraborty, 2020) and tech-driven audits (Patel &amp; Singh, 2022), few studies dissect Mumbai-specific constraints. This gap is critical: Mumbai’s unique concentration of NSE-listed firms (over 1,600) and fintech startups creates distinct audit complexities absent in other Indian cities. This proposal addresses this by centering the Auditor within India Mumbai's operational realities, building on recent MCA data showing 28% of financial fraud cases involved Mumbai-based auditors.</w:t>
      </w:r>
    </w:p>
    <w:bookmarkEnd w:id="23"/>
    <w:bookmarkStart w:id="24" w:name="research-objectives"/>
    <w:p>
      <w:pPr>
        <w:pStyle w:val="Heading2"/>
      </w:pPr>
      <w:r>
        <w:t xml:space="preserve">Research Objectives</w:t>
      </w:r>
    </w:p>
    <w:p>
      <w:pPr>
        <w:numPr>
          <w:ilvl w:val="0"/>
          <w:numId w:val="1001"/>
        </w:numPr>
        <w:pStyle w:val="Compact"/>
      </w:pPr>
      <w:r>
        <w:t xml:space="preserve">To map the regulatory landscape influencing the Auditor in India Mumbai (focusing on MCA 21 portal compliance, SEBI Circulars, and State Tax Department interactions).</w:t>
      </w:r>
    </w:p>
    <w:p>
      <w:pPr>
        <w:numPr>
          <w:ilvl w:val="0"/>
          <w:numId w:val="1001"/>
        </w:numPr>
        <w:pStyle w:val="Compact"/>
      </w:pPr>
      <w:r>
        <w:t xml:space="preserve">To assess technological readiness (AI/ML adoption) among Mumbai-based audit firms versus global benchmarks.</w:t>
      </w:r>
    </w:p>
    <w:p>
      <w:pPr>
        <w:numPr>
          <w:ilvl w:val="0"/>
          <w:numId w:val="1001"/>
        </w:numPr>
        <w:pStyle w:val="Compact"/>
      </w:pPr>
      <w:r>
        <w:t xml:space="preserve">To identify systemic pressures impacting Auditor independence in high-pressure Mumbai corporate environments.</w:t>
      </w:r>
    </w:p>
    <w:p>
      <w:pPr>
        <w:numPr>
          <w:ilvl w:val="0"/>
          <w:numId w:val="1001"/>
        </w:numPr>
        <w:pStyle w:val="Compact"/>
      </w:pPr>
      <w:r>
        <w:t xml:space="preserve">To develop a context-specific framework enhancing Auditor efficacy for India's financial hub.</w:t>
      </w:r>
    </w:p>
    <w:bookmarkEnd w:id="24"/>
    <w:bookmarkStart w:id="25" w:name="methodology"/>
    <w:p>
      <w:pPr>
        <w:pStyle w:val="Heading2"/>
      </w:pPr>
      <w:r>
        <w:t xml:space="preserve">Methodology</w:t>
      </w:r>
    </w:p>
    <w:p>
      <w:pPr>
        <w:pStyle w:val="FirstParagraph"/>
      </w:pPr>
      <w:r>
        <w:t xml:space="preserve">This mixed-methods study employs sequential triangulation: (1) Quantitative analysis of MCA data (2019-2024) on audit-related penalties in Mumbai; (2) Semi-structured interviews with 35 key stakeholders—including 15 Partner-level Auditors from Big 4 firms, SME clients, and ICAI Mumbai Chapter members; (3) A structured survey of 150 mid-tier audit firms across Mumbai. Data will be analyzed using NVivo for thematic coding and SPSS for statistical trends. Critical focus areas include audit duration metrics, fraud detection rates, and regulatory non-compliance flags specific to India Mumbai’s financial corridors like Nariman Point and Bandra-Kurla Complex.</w:t>
      </w:r>
    </w:p>
    <w:bookmarkEnd w:id="25"/>
    <w:bookmarkStart w:id="26" w:name="expected-contributions"/>
    <w:p>
      <w:pPr>
        <w:pStyle w:val="Heading2"/>
      </w:pPr>
      <w:r>
        <w:t xml:space="preserve">Expected Contributions</w:t>
      </w:r>
    </w:p>
    <w:p>
      <w:pPr>
        <w:pStyle w:val="FirstParagraph"/>
      </w:pPr>
      <w:r>
        <w:t xml:space="preserve">This Research Proposal promises significant value for the Auditor community in India Mumbai. Findings will: (1) Provide a benchmarking tool comparing Mumbai audit practices against global financial centers; (2) Propose localized training modules addressing gaps like crypto-asset auditing (increasingly relevant in Mumbai's fintech sector); (3) Inform ICAI’s policy recommendations for Maharashtra-based regulatory bodies; and (4) Offer SME clients evidence-based criteria for selecting auditors. Crucially, the research will position the Auditor as an active guardian of Mumbai’s economic credibility—not merely a compliance function—directly supporting India’s aspirations as a $5 trillion economy by 2027.</w:t>
      </w:r>
    </w:p>
    <w:bookmarkEnd w:id="26"/>
    <w:bookmarkStart w:id="27" w:name="timeline-and-budget"/>
    <w:p>
      <w:pPr>
        <w:pStyle w:val="Heading2"/>
      </w:pPr>
      <w:r>
        <w:t xml:space="preserve">Timeline and Budget</w:t>
      </w:r>
    </w:p>
    <w:p>
      <w:pPr>
        <w:pStyle w:val="FirstParagraph"/>
      </w:pPr>
      <w:r>
        <w:t xml:space="preserve">Phase</w:t>
      </w:r>
    </w:p>
    <w:p>
      <w:pPr>
        <w:pStyle w:val="BodyText"/>
      </w:pPr>
      <w:r>
        <w:t xml:space="preserve">Duration (Months)</w:t>
      </w:r>
    </w:p>
    <w:p>
      <w:pPr>
        <w:pStyle w:val="BodyText"/>
      </w:pPr>
      <w:r>
        <w:t xml:space="preserve">Budget Allocation (INR)</w:t>
      </w:r>
    </w:p>
    <w:p>
      <w:pPr>
        <w:pStyle w:val="BodyText"/>
      </w:pPr>
      <w:r>
        <w:t xml:space="preserve">Literature Review &amp; Instrument Design</w:t>
      </w:r>
    </w:p>
    <w:p>
      <w:pPr>
        <w:pStyle w:val="BodyText"/>
      </w:pPr>
      <w:r>
        <w:t xml:space="preserve">2</w:t>
      </w:r>
    </w:p>
    <w:p>
      <w:pPr>
        <w:pStyle w:val="BodyText"/>
      </w:pPr>
      <w:r>
        <w:t xml:space="preserve">45,000</w:t>
      </w:r>
    </w:p>
    <w:p>
      <w:pPr>
        <w:pStyle w:val="BodyText"/>
      </w:pPr>
      <w:r>
        <w:t xml:space="preserve">Data Collection (Fieldwork in Mumbai)</w:t>
      </w:r>
    </w:p>
    <w:p>
      <w:pPr>
        <w:pStyle w:val="BodyText"/>
      </w:pPr>
      <w:r>
        <w:t xml:space="preserve">4</w:t>
      </w:r>
    </w:p>
    <w:p>
      <w:pPr>
        <w:pStyle w:val="BodyText"/>
      </w:pPr>
      <w:r>
        <w:t xml:space="preserve">1,80,000</w:t>
      </w:r>
    </w:p>
    <w:p>
      <w:pPr>
        <w:pStyle w:val="BodyText"/>
      </w:pPr>
      <w:r>
        <w:t xml:space="preserve">Data Analysis &amp; Drafting Report</w:t>
      </w:r>
    </w:p>
    <w:p>
      <w:pPr>
        <w:pStyle w:val="BodyText"/>
      </w:pPr>
      <w:r>
        <w:t xml:space="preserve">3</w:t>
      </w:r>
    </w:p>
    <w:p>
      <w:pPr>
        <w:pStyle w:val="BodyText"/>
      </w:pPr>
      <w:r>
        <w:t xml:space="preserve">65,000</w:t>
      </w:r>
    </w:p>
    <w:p>
      <w:pPr>
        <w:pStyle w:val="BodyText"/>
      </w:pPr>
      <w:r>
        <w:t xml:space="preserve">Total</w:t>
      </w:r>
    </w:p>
    <w:p>
      <w:pPr>
        <w:pStyle w:val="BodyText"/>
      </w:pPr>
      <w:r>
        <w:t xml:space="preserve">9 Months</w:t>
      </w:r>
    </w:p>
    <w:p>
      <w:pPr>
        <w:pStyle w:val="BodyText"/>
      </w:pPr>
      <w:r>
        <w:rPr>
          <w:bCs/>
          <w:b/>
        </w:rPr>
        <w:t xml:space="preserve">2,90,000 INR</w:t>
      </w:r>
    </w:p>
    <w:bookmarkEnd w:id="27"/>
    <w:bookmarkStart w:id="28" w:name="conclusion"/>
    <w:p>
      <w:pPr>
        <w:pStyle w:val="Heading2"/>
      </w:pPr>
      <w:r>
        <w:t xml:space="preserve">Conclusion</w:t>
      </w:r>
    </w:p>
    <w:p>
      <w:pPr>
        <w:pStyle w:val="FirstParagraph"/>
      </w:pPr>
      <w:r>
        <w:t xml:space="preserve">In India Mumbai’s high-octane financial ecosystem, the Auditor is not a passive observer but a pivotal architect of trust. This Research Proposal directly confronts the urgent need to future-proof auditor practices within the city that drives 60% of India’s GDP. By grounding analysis in Mumbai-specific realities—from navigating BrihanMumbai Municipal Corporation (BMC) regulations to auditing startups in GIFT City—the study ensures its findings are immediately actionable for local practitioners. The outcome will empower the Auditor across India Mumbai to transcend procedural compliance, becoming a strategic partner in building a more resilient and transparent financial future for India.</w:t>
      </w:r>
    </w:p>
    <w:p>
      <w:pPr>
        <w:pStyle w:val="BodyText"/>
      </w:pPr>
      <w:r>
        <w:rPr>
          <w:bCs/>
          <w:b/>
        </w:rPr>
        <w:t xml:space="preserve">Keywords:</w:t>
      </w:r>
      <w:r>
        <w:t xml:space="preserve"> </w:t>
      </w:r>
      <w:r>
        <w:t xml:space="preserve">Research Proposal, Auditor, India Mumbai, Financial Auditing, Regulatory Compliance, Audit Quality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Auditor in India Mumbai's Financial Ecosystem</dc:title>
  <dc:creator/>
  <dc:language>en</dc:language>
  <cp:keywords/>
  <dcterms:created xsi:type="dcterms:W3CDTF">2025-12-11T06:08:19Z</dcterms:created>
  <dcterms:modified xsi:type="dcterms:W3CDTF">2025-12-11T06:08:19Z</dcterms:modified>
</cp:coreProperties>
</file>

<file path=docProps/custom.xml><?xml version="1.0" encoding="utf-8"?>
<Properties xmlns="http://schemas.openxmlformats.org/officeDocument/2006/custom-properties" xmlns:vt="http://schemas.openxmlformats.org/officeDocument/2006/docPropsVTypes"/>
</file>