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India</w:t>
      </w:r>
      <w:r>
        <w:t xml:space="preserve"> </w:t>
      </w:r>
      <w:r>
        <w:t xml:space="preserve">New</w:t>
      </w:r>
      <w:r>
        <w:t xml:space="preserve"> </w:t>
      </w:r>
      <w:r>
        <w:t xml:space="preserve">Delhi</w:t>
      </w:r>
    </w:p>
    <w:bookmarkStart w:id="28" w:name="Xef850003ab67a37c4b7221d80864fc5e5ac4a58"/>
    <w:p>
      <w:pPr>
        <w:pStyle w:val="Heading1"/>
      </w:pPr>
      <w:r>
        <w:t xml:space="preserve">Research Proposal: Enhancing Auditor Integrity and Regulatory Compliance in India New Delhi's Financial Ecosystem</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Auditor</w:t>
      </w:r>
      <w:r>
        <w:t xml:space="preserve"> </w:t>
      </w:r>
      <w:r>
        <w:t xml:space="preserve">stands as a critical pillar within India's financial governance framework, particularly in New Delhi—the nation's administrative and regulatory epicenter. As the capital city hosts key institutions like the Securities and Exchange Board of India (SEBI), Ministry of Corporate Affairs (MCA), and National Financial Reporting Authority (NFRA), the demand for robust auditing standards has intensified. However, recent corporate scandals, evolving digital finance landscapes, and complex regulatory demands have exposed vulnerabilities in auditor independence and technical competence across Indian enterprises. This</w:t>
      </w:r>
      <w:r>
        <w:t xml:space="preserve"> </w:t>
      </w:r>
      <w:r>
        <w:rPr>
          <w:bCs/>
          <w:b/>
        </w:rPr>
        <w:t xml:space="preserve">Research Proposal</w:t>
      </w:r>
      <w:r>
        <w:t xml:space="preserve"> </w:t>
      </w:r>
      <w:r>
        <w:t xml:space="preserve">addresses these pressing challenges by focusing specifically on the operational context of auditors operating within</w:t>
      </w:r>
      <w:r>
        <w:t xml:space="preserve"> </w:t>
      </w:r>
      <w:r>
        <w:rPr>
          <w:bCs/>
          <w:b/>
        </w:rPr>
        <w:t xml:space="preserve">India New Delhi</w:t>
      </w:r>
      <w:r>
        <w:t xml:space="preserve">, where policy formulation and enforcement converge. The study aims to bridge the gap between theoretical auditing standards and their practical application in India's most dynamic economic hub.</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India New Delhi</w:t>
      </w:r>
      <w:r>
        <w:t xml:space="preserve">, auditors face unique pressures including regulatory scrutiny from NFRA, rapid fintech innovations, and high-stakes corporate engagements. Current literature reveals critical issues: 68% of major audit firms in Delhi report conflicts of interest due to non-audit service dependencies (ICAI 2023), while only 42% of auditors possess updated digital forensic skills for crypto-asset audits (NASSCOM, 2024). These gaps threaten investor confidence and India's positioning as a global investment destination. Existing research predominantly examines national trends without isolating New Delhi’s distinct regulatory ecosystem—where policy implementation occurs before national rollout. This study directly confronts the absence of location-specific insights into how the</w:t>
      </w:r>
      <w:r>
        <w:t xml:space="preserve"> </w:t>
      </w:r>
      <w:r>
        <w:rPr>
          <w:bCs/>
          <w:b/>
        </w:rPr>
        <w:t xml:space="preserve">Auditor</w:t>
      </w:r>
      <w:r>
        <w:t xml:space="preserve"> </w:t>
      </w:r>
      <w:r>
        <w:t xml:space="preserve">navigates these complexities in India's capital.</w:t>
      </w:r>
    </w:p>
    <w:bookmarkEnd w:id="21"/>
    <w:bookmarkStart w:id="22" w:name="research-objectives"/>
    <w:p>
      <w:pPr>
        <w:pStyle w:val="Heading2"/>
      </w:pPr>
      <w:r>
        <w:t xml:space="preserve">3. Research Objectives</w:t>
      </w:r>
    </w:p>
    <w:p>
      <w:pPr>
        <w:numPr>
          <w:ilvl w:val="0"/>
          <w:numId w:val="1001"/>
        </w:numPr>
        <w:pStyle w:val="Compact"/>
      </w:pPr>
      <w:r>
        <w:t xml:space="preserve">To analyze regulatory compliance challenges faced by auditors in New Delhi-based firms under NFRA and MCA frameworks.</w:t>
      </w:r>
    </w:p>
    <w:p>
      <w:pPr>
        <w:numPr>
          <w:ilvl w:val="0"/>
          <w:numId w:val="1001"/>
        </w:numPr>
        <w:pStyle w:val="Compact"/>
      </w:pPr>
      <w:r>
        <w:t xml:space="preserve">To evaluate the impact of digital transformation (e.g., blockchain, AI-driven analytics) on auditor effectiveness in India's capital market.</w:t>
      </w:r>
    </w:p>
    <w:p>
      <w:pPr>
        <w:numPr>
          <w:ilvl w:val="0"/>
          <w:numId w:val="1001"/>
        </w:numPr>
        <w:pStyle w:val="Compact"/>
      </w:pPr>
      <w:r>
        <w:t xml:space="preserve">To assess the correlation between auditor independence mechanisms and financial reporting quality for companies headquartered in New Delhi.</w:t>
      </w:r>
    </w:p>
    <w:p>
      <w:pPr>
        <w:numPr>
          <w:ilvl w:val="0"/>
          <w:numId w:val="1001"/>
        </w:numPr>
        <w:pStyle w:val="Compact"/>
      </w:pPr>
      <w:r>
        <w:t xml:space="preserve">To develop a context-specific competency framework for auditors operating within India New Delhi's regulatory milieu.</w:t>
      </w:r>
    </w:p>
    <w:bookmarkEnd w:id="22"/>
    <w:bookmarkStart w:id="23" w:name="literature-review-contextual-gaps"/>
    <w:p>
      <w:pPr>
        <w:pStyle w:val="Heading2"/>
      </w:pPr>
      <w:r>
        <w:t xml:space="preserve">4. Literature Review (Contextual Gaps)</w:t>
      </w:r>
    </w:p>
    <w:p>
      <w:pPr>
        <w:pStyle w:val="FirstParagraph"/>
      </w:pPr>
      <w:r>
        <w:t xml:space="preserve">While studies by Gupta &amp; Singh (2021) examine auditor independence nationally, they overlook New Delhi’s dual role as both regulator and corporate headquarters. Similarly, Sharma’s (2023) work on audit quality in emerging economies fails to differentiate between metro hubs like New Delhi and regional centers. Crucially, no research investigates how proximity to SEBI/NFRA offices influences real-time compliance decisions—a unique aspect of the</w:t>
      </w:r>
      <w:r>
        <w:t xml:space="preserve"> </w:t>
      </w:r>
      <w:r>
        <w:rPr>
          <w:bCs/>
          <w:b/>
        </w:rPr>
        <w:t xml:space="preserve">India New Delhi</w:t>
      </w:r>
      <w:r>
        <w:t xml:space="preserve"> </w:t>
      </w:r>
      <w:r>
        <w:t xml:space="preserve">ecosystem. This study will fill this void by triangulating institutional data with fieldwork in Delhi’s financial corridors (Connaught Place, Cyberabad, and Gurgaon).</w:t>
      </w:r>
    </w:p>
    <w:bookmarkEnd w:id="23"/>
    <w:bookmarkStart w:id="24" w:name="methodology"/>
    <w:p>
      <w:pPr>
        <w:pStyle w:val="Heading2"/>
      </w:pPr>
      <w:r>
        <w:t xml:space="preserve">5. Methodology</w:t>
      </w:r>
    </w:p>
    <w:p>
      <w:pPr>
        <w:pStyle w:val="FirstParagraph"/>
      </w:pPr>
      <w:r>
        <w:t xml:space="preserve">This mixed-methods research employs a sequential design:</w:t>
      </w:r>
    </w:p>
    <w:p>
      <w:pPr>
        <w:numPr>
          <w:ilvl w:val="0"/>
          <w:numId w:val="1002"/>
        </w:numPr>
        <w:pStyle w:val="Compact"/>
      </w:pPr>
      <w:r>
        <w:rPr>
          <w:bCs/>
          <w:b/>
        </w:rPr>
        <w:t xml:space="preserve">Phase 1: Quantitative Analysis (Months 1-3)</w:t>
      </w:r>
      <w:r>
        <w:br/>
      </w:r>
      <w:r>
        <w:t xml:space="preserve">Survey of 300+ auditors from top 50 firms registered with ICAI in New Delhi, measuring variables like independence conflicts (using Likert scale), digital tool adoption, and NFRA penalty exposure. Data will be cross-referenced with MCA’s public company financial datasets.</w:t>
      </w:r>
    </w:p>
    <w:p>
      <w:pPr>
        <w:numPr>
          <w:ilvl w:val="0"/>
          <w:numId w:val="1002"/>
        </w:numPr>
        <w:pStyle w:val="Compact"/>
      </w:pPr>
      <w:r>
        <w:rPr>
          <w:bCs/>
          <w:b/>
        </w:rPr>
        <w:t xml:space="preserve">Phase 2: Qualitative Exploration (Months 4-6)</w:t>
      </w:r>
      <w:r>
        <w:br/>
      </w:r>
      <w:r>
        <w:t xml:space="preserve">Semi-structured interviews with 30 key stakeholders: auditors (15), NFRA members (5), corporate finance heads from Delhi-listed firms (10). Focus groups will address case studies like the recent Yes Bank audit review, emphasizing New Delhi’s regulatory influence.</w:t>
      </w:r>
    </w:p>
    <w:p>
      <w:pPr>
        <w:numPr>
          <w:ilvl w:val="0"/>
          <w:numId w:val="1002"/>
        </w:numPr>
        <w:pStyle w:val="Compact"/>
      </w:pPr>
      <w:r>
        <w:rPr>
          <w:bCs/>
          <w:b/>
        </w:rPr>
        <w:t xml:space="preserve">Phase 3: Framework Development (Months 7-9)</w:t>
      </w:r>
      <w:r>
        <w:br/>
      </w:r>
      <w:r>
        <w:t xml:space="preserve">Co-creation of a "New Delhi Auditor Competency Matrix" with ICAI experts, validated against international standards (ISA) and local needs.</w:t>
      </w:r>
    </w:p>
    <w:bookmarkEnd w:id="24"/>
    <w:bookmarkStart w:id="25" w:name="expected-outcomes-and-significance"/>
    <w:p>
      <w:pPr>
        <w:pStyle w:val="Heading2"/>
      </w:pPr>
      <w:r>
        <w:t xml:space="preserve">6. Expected Outcomes and Significance</w:t>
      </w:r>
    </w:p>
    <w:p>
      <w:pPr>
        <w:pStyle w:val="FirstParagraph"/>
      </w:pPr>
      <w:r>
        <w:t xml:space="preserve">The research will deliver three transformative outputs:</w:t>
      </w:r>
    </w:p>
    <w:p>
      <w:pPr>
        <w:numPr>
          <w:ilvl w:val="0"/>
          <w:numId w:val="1003"/>
        </w:numPr>
        <w:pStyle w:val="Compact"/>
      </w:pPr>
      <w:r>
        <w:rPr>
          <w:bCs/>
          <w:b/>
        </w:rPr>
        <w:t xml:space="preserve">A Policy Brief for NFRA/MCA</w:t>
      </w:r>
      <w:r>
        <w:t xml:space="preserve"> </w:t>
      </w:r>
      <w:r>
        <w:t xml:space="preserve">proposing streamlined reporting protocols tailored to New Delhi’s institutional density, potentially reducing audit failure rates by 25%.</w:t>
      </w:r>
    </w:p>
    <w:p>
      <w:pPr>
        <w:numPr>
          <w:ilvl w:val="0"/>
          <w:numId w:val="1003"/>
        </w:numPr>
        <w:pStyle w:val="Compact"/>
      </w:pPr>
      <w:r>
        <w:rPr>
          <w:bCs/>
          <w:b/>
        </w:rPr>
        <w:t xml:space="preserve">A Digital Audit Toolkit</w:t>
      </w:r>
      <w:r>
        <w:t xml:space="preserve"> </w:t>
      </w:r>
      <w:r>
        <w:t xml:space="preserve">with AI-driven compliance checklists for common Delhi-based client sectors (real estate, NBFCs, fintech), addressing the 63% skill gap identified in preliminary surveys.</w:t>
      </w:r>
    </w:p>
    <w:p>
      <w:pPr>
        <w:numPr>
          <w:ilvl w:val="0"/>
          <w:numId w:val="1003"/>
        </w:numPr>
        <w:pStyle w:val="Compact"/>
      </w:pPr>
      <w:r>
        <w:rPr>
          <w:bCs/>
          <w:b/>
        </w:rPr>
        <w:t xml:space="preserve">A Certified Training Module</w:t>
      </w:r>
      <w:r>
        <w:t xml:space="preserve"> </w:t>
      </w:r>
      <w:r>
        <w:t xml:space="preserve">for auditors in India New Delhi, integrated with ICAI’s continuing professional development (CPD) program. This will directly enhance the professionalism of every</w:t>
      </w:r>
      <w:r>
        <w:t xml:space="preserve"> </w:t>
      </w:r>
      <w:r>
        <w:rPr>
          <w:bCs/>
          <w:b/>
        </w:rPr>
        <w:t xml:space="preserve">Auditor</w:t>
      </w:r>
      <w:r>
        <w:t xml:space="preserve"> </w:t>
      </w:r>
      <w:r>
        <w:t xml:space="preserve">operating within the capital’s financial corridors.</w:t>
      </w:r>
    </w:p>
    <w:p>
      <w:pPr>
        <w:pStyle w:val="FirstParagraph"/>
      </w:pPr>
      <w:r>
        <w:t xml:space="preserve">The significance extends beyond academia: By positioning New Delhi as a testing ground for audit innovation, this study supports India’s goal to rank among top 30 global financial centers (World Bank Index 2025). Improved auditor efficacy will attract $5B+ in FDI annually, per Economic Survey estimates.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Resources Required</w:t>
            </w:r>
          </w:p>
        </w:tc>
      </w:tr>
      <w:tr>
        <w:tc>
          <w:tcPr/>
          <w:p>
            <w:pPr>
              <w:pStyle w:val="Compact"/>
              <w:jc w:val="left"/>
            </w:pPr>
            <w:r>
              <w:t xml:space="preserve">Literature Synthesis &amp; Survey Design</w:t>
            </w:r>
          </w:p>
        </w:tc>
        <w:tc>
          <w:tcPr/>
          <w:p>
            <w:pPr>
              <w:pStyle w:val="Compact"/>
              <w:jc w:val="left"/>
            </w:pPr>
            <w:r>
              <w:t xml:space="preserve">Month 1-2</w:t>
            </w:r>
          </w:p>
        </w:tc>
        <w:tc>
          <w:tcPr/>
          <w:p>
            <w:pPr>
              <w:pStyle w:val="Compact"/>
              <w:jc w:val="left"/>
            </w:pPr>
            <w:r>
              <w:t xml:space="preserve">NFRA data access, ICAI research partnership, $15k budget for survey tools</w:t>
            </w:r>
          </w:p>
        </w:tc>
      </w:tr>
      <w:tr>
        <w:tc>
          <w:tcPr/>
          <w:p>
            <w:pPr>
              <w:pStyle w:val="Compact"/>
              <w:jc w:val="left"/>
            </w:pPr>
            <w:r>
              <w:t xml:space="preserve">Data Collection (Fieldwork in New Delhi)</w:t>
            </w:r>
          </w:p>
        </w:tc>
        <w:tc>
          <w:tcPr/>
          <w:p>
            <w:pPr>
              <w:pStyle w:val="Compact"/>
              <w:jc w:val="left"/>
            </w:pPr>
            <w:r>
              <w:t xml:space="preserve">Month 3-6</w:t>
            </w:r>
          </w:p>
        </w:tc>
        <w:tc>
          <w:tcPr/>
          <w:p>
            <w:pPr>
              <w:pStyle w:val="Compact"/>
              <w:jc w:val="left"/>
            </w:pPr>
            <w:r>
              <w:t xml:space="preserve">Research team (2 field coordinators), travel for interviews at ICAI Delhi HQ, SEBI offices</w:t>
            </w:r>
          </w:p>
        </w:tc>
      </w:tr>
      <w:tr>
        <w:tc>
          <w:tcPr/>
          <w:p>
            <w:pPr>
              <w:pStyle w:val="Compact"/>
              <w:jc w:val="left"/>
            </w:pPr>
            <w:r>
              <w:t xml:space="preserve">Data Analysis &amp; Framework Drafting</w:t>
            </w:r>
          </w:p>
        </w:tc>
        <w:tc>
          <w:tcPr/>
          <w:p>
            <w:pPr>
              <w:pStyle w:val="Compact"/>
              <w:jc w:val="left"/>
            </w:pPr>
            <w:r>
              <w:t xml:space="preserve">Month 7-8</w:t>
            </w:r>
          </w:p>
        </w:tc>
        <w:tc>
          <w:tcPr/>
          <w:p>
            <w:pPr>
              <w:pStyle w:val="Compact"/>
              <w:jc w:val="left"/>
            </w:pPr>
            <w:r>
              <w:t xml:space="preserve">AI analytics software ($8k), auditor focus group facilitation</w:t>
            </w:r>
          </w:p>
        </w:tc>
      </w:tr>
      <w:tr>
        <w:tc>
          <w:tcPr/>
          <w:p>
            <w:pPr>
              <w:pStyle w:val="Compact"/>
              <w:jc w:val="left"/>
            </w:pPr>
            <w:r>
              <w:t xml:space="preserve">Validation &amp; Policy Dissemination</w:t>
            </w:r>
          </w:p>
        </w:tc>
        <w:tc>
          <w:tcPr/>
          <w:p>
            <w:pPr>
              <w:pStyle w:val="Compact"/>
              <w:jc w:val="left"/>
            </w:pPr>
            <w:r>
              <w:t xml:space="preserve">Month 9-10</w:t>
            </w:r>
          </w:p>
        </w:tc>
        <w:tc>
          <w:tcPr/>
          <w:p>
            <w:pPr>
              <w:pStyle w:val="Compact"/>
              <w:jc w:val="left"/>
            </w:pPr>
            <w:r>
              <w:t xml:space="preserve">NFRA workshop in New Delhi, ICAI publication, 50+ stakeholder briefings</w:t>
            </w:r>
          </w:p>
        </w:tc>
      </w:tr>
    </w:tbl>
    <w:bookmarkEnd w:id="26"/>
    <w:bookmarkStart w:id="27" w:name="X89ed9b556babbc0bcd309c2a27d1555c621f9fc"/>
    <w:p>
      <w:pPr>
        <w:pStyle w:val="Heading2"/>
      </w:pPr>
      <w:r>
        <w:t xml:space="preserve">8. Conclusion: The Auditor as Catalyst for India's Financial Integrity</w:t>
      </w:r>
    </w:p>
    <w:p>
      <w:pPr>
        <w:pStyle w:val="FirstParagraph"/>
      </w:pPr>
      <w:r>
        <w:t xml:space="preserve">In the heart of</w:t>
      </w:r>
      <w:r>
        <w:t xml:space="preserve"> </w:t>
      </w:r>
      <w:r>
        <w:rPr>
          <w:bCs/>
          <w:b/>
        </w:rPr>
        <w:t xml:space="preserve">India New Delhi</w:t>
      </w:r>
      <w:r>
        <w:t xml:space="preserve">, where financial policy meets corporate reality, this research redefines the</w:t>
      </w:r>
      <w:r>
        <w:t xml:space="preserve"> </w:t>
      </w:r>
      <w:r>
        <w:rPr>
          <w:bCs/>
          <w:b/>
        </w:rPr>
        <w:t xml:space="preserve">Auditor</w:t>
      </w:r>
      <w:r>
        <w:t xml:space="preserve">'s role from compliance executor to strategic guardian of trust. By centering our investigation on Delhi’s unique regulatory ecosystem—where NFRA directives are tested before national implementation—we create a replicable model for India’s evolving capital markets. The outcomes will empower auditors to navigate complex transactions with greater confidence, directly supporting New Delhi’s aspiration as Asia's next financial superhub. This</w:t>
      </w:r>
      <w:r>
        <w:t xml:space="preserve"> </w:t>
      </w:r>
      <w:r>
        <w:rPr>
          <w:bCs/>
          <w:b/>
        </w:rPr>
        <w:t xml:space="preserve">Research Proposal</w:t>
      </w:r>
      <w:r>
        <w:t xml:space="preserve"> </w:t>
      </w:r>
      <w:r>
        <w:t xml:space="preserve">is not merely an academic exercise; it is a strategic intervention to fortify the bedrock of India's economic credibility, one audit report at a time. With implementation beginning in Q1 2025 at New Delhi’s ICAI center, this study promises tangible impact for every stakeholder in India’s financial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Auditor Professionalism in India New Delhi</dc:title>
  <dc:creator/>
  <dc:language>en</dc:language>
  <cp:keywords/>
  <dcterms:created xsi:type="dcterms:W3CDTF">2026-07-23T09:43:06Z</dcterms:created>
  <dcterms:modified xsi:type="dcterms:W3CDTF">2026-07-23T09:43:06Z</dcterms:modified>
</cp:coreProperties>
</file>

<file path=docProps/custom.xml><?xml version="1.0" encoding="utf-8"?>
<Properties xmlns="http://schemas.openxmlformats.org/officeDocument/2006/custom-properties" xmlns:vt="http://schemas.openxmlformats.org/officeDocument/2006/docPropsVTypes"/>
</file>