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Accountability</w:t>
      </w:r>
      <w:r>
        <w:t xml:space="preserve"> </w:t>
      </w:r>
      <w:r>
        <w:t xml:space="preserve">in</w:t>
      </w:r>
      <w:r>
        <w:t xml:space="preserve"> </w:t>
      </w:r>
      <w:r>
        <w:t xml:space="preserve">Indonesia</w:t>
      </w:r>
      <w:r>
        <w:t xml:space="preserve"> </w:t>
      </w:r>
      <w:r>
        <w:t xml:space="preserve">Jakarta</w:t>
      </w:r>
    </w:p>
    <w:bookmarkStart w:id="28" w:name="X58f0979e019e6e489d4f3257be17c7c90819d43"/>
    <w:p>
      <w:pPr>
        <w:pStyle w:val="Heading1"/>
      </w:pPr>
      <w:r>
        <w:t xml:space="preserve">Research Proposal: Enhancing Auditor Professionalism and Accountability in Indonesia Jakarta</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is pivotal in safeguarding financial integrity, fostering investor confidence, and ensuring regulatory compliance within Indonesia's rapidly evolving economic landscape. Jakarta, as the nation's political, financial, and commercial epicenter, hosts over 70% of Indonesia's major corporations and international subsidiaries. Yet, persistent challenges in auditor independence, technical proficiency, and ethical adherence threaten the credibility of financial reporting across this critical hub. This</w:t>
      </w:r>
      <w:r>
        <w:t xml:space="preserve"> </w:t>
      </w:r>
      <w:r>
        <w:rPr>
          <w:bCs/>
          <w:b/>
        </w:rPr>
        <w:t xml:space="preserve">Research Proposal</w:t>
      </w:r>
      <w:r>
        <w:t xml:space="preserve"> </w:t>
      </w:r>
      <w:r>
        <w:t xml:space="preserve">addresses a pressing gap: the need for context-specific strategies to strengthen</w:t>
      </w:r>
      <w:r>
        <w:t xml:space="preserve"> </w:t>
      </w:r>
      <w:r>
        <w:rPr>
          <w:bCs/>
          <w:b/>
        </w:rPr>
        <w:t xml:space="preserve">Auditor</w:t>
      </w:r>
      <w:r>
        <w:t xml:space="preserve"> </w:t>
      </w:r>
      <w:r>
        <w:t xml:space="preserve">capabilities and accountability within the Jakarta business ecosystem. Indonesia's regulatory framework—including Financial Accounting Standards (PSAK), Bank Indonesia regulations, and OJK supervision—demands auditors who navigate complex local nuances while adhering to international standards. This study will uniquely focus on Jakarta's dynamic market to generate actionable insights for stakeholders.</w:t>
      </w:r>
    </w:p>
    <w:bookmarkEnd w:id="20"/>
    <w:bookmarkStart w:id="21" w:name="problem-statement"/>
    <w:p>
      <w:pPr>
        <w:pStyle w:val="Heading2"/>
      </w:pPr>
      <w:r>
        <w:t xml:space="preserve">2. Problem Statement</w:t>
      </w:r>
    </w:p>
    <w:p>
      <w:pPr>
        <w:pStyle w:val="FirstParagraph"/>
      </w:pPr>
      <w:r>
        <w:t xml:space="preserve">Despite Indonesia's adoption of International Financial Reporting Standards (IFRS) and enhanced corporate governance codes, auditor-related failures remain prevalent in Jakarta. Recent cases, such as the 2019 Bank Bali audit scandal and recurring irregularities in SME financial disclosures across Jakarta’s business corridors (e.g., Sudirman Central Business District), underscore systemic vulnerabilities. The</w:t>
      </w:r>
      <w:r>
        <w:t xml:space="preserve"> </w:t>
      </w:r>
      <w:r>
        <w:rPr>
          <w:bCs/>
          <w:b/>
        </w:rPr>
        <w:t xml:space="preserve">Auditor</w:t>
      </w:r>
      <w:r>
        <w:t xml:space="preserve"> </w:t>
      </w:r>
      <w:r>
        <w:t xml:space="preserve">in Indonesia Jakarta often faces conflicts between client pressures, tight deadlines imposed by fast-paced markets, and evolving regulatory demands. A 2023 KAP (Kantor Akuntan Publik) survey revealed that 68% of Jakarta-based auditors reported compromised independence due to non-audit service dependencies—a critical risk in Indonesia’s concentrated business environment. Furthermore, digital transformation in Jakarta’s fintech sector (e.g., Gojek, Tokopedia) has outpaced auditor competency frameworks, creating a skills gap. This</w:t>
      </w:r>
      <w:r>
        <w:t xml:space="preserve"> </w:t>
      </w:r>
      <w:r>
        <w:rPr>
          <w:bCs/>
          <w:b/>
        </w:rPr>
        <w:t xml:space="preserve">Research Proposal</w:t>
      </w:r>
      <w:r>
        <w:t xml:space="preserve"> </w:t>
      </w:r>
      <w:r>
        <w:t xml:space="preserve">seeks to investigate these challenges through an Indonesia Jakarta lens to propose solutions that align with local realities.</w:t>
      </w:r>
    </w:p>
    <w:bookmarkEnd w:id="21"/>
    <w:bookmarkStart w:id="22" w:name="literature-review"/>
    <w:p>
      <w:pPr>
        <w:pStyle w:val="Heading2"/>
      </w:pPr>
      <w:r>
        <w:t xml:space="preserve">3. Literature Review</w:t>
      </w:r>
    </w:p>
    <w:p>
      <w:pPr>
        <w:pStyle w:val="FirstParagraph"/>
      </w:pPr>
      <w:r>
        <w:t xml:space="preserve">Global literature emphasizes auditor independence as the cornerstone of financial credibility (Dechow &amp; Dichev, 2002). However, in emerging economies like Indonesia, institutional voids amplify risks. Studies by Siregar (2018) on Indonesian audit markets highlight how hierarchical client relationships in Jakarta’s business culture often override professional skepticism. Similarly, research by Wibowo et al. (2021) identifies a "regulatory disconnect" where OJK’s enforcement lags behind the complexity of Jakarta’s financial innovations. Crucially, no prior study has holistically examined the</w:t>
      </w:r>
      <w:r>
        <w:t xml:space="preserve"> </w:t>
      </w:r>
      <w:r>
        <w:rPr>
          <w:bCs/>
          <w:b/>
        </w:rPr>
        <w:t xml:space="preserve">Auditor</w:t>
      </w:r>
      <w:r>
        <w:t xml:space="preserve">’s operational challenges within Jakarta’s unique socio-economic fabric—combining high-growth SME clusters (e.g., Kemang, Senayan), multinational HQs, and regulatory agencies like OJK and BI. This research will bridge that gap by integrating local context with global audit theory.</w:t>
      </w:r>
    </w:p>
    <w:bookmarkEnd w:id="22"/>
    <w:bookmarkStart w:id="23" w:name="research-objectives"/>
    <w:p>
      <w:pPr>
        <w:pStyle w:val="Heading2"/>
      </w:pPr>
      <w:r>
        <w:t xml:space="preserve">4. Research Objectives</w:t>
      </w:r>
    </w:p>
    <w:p>
      <w:pPr>
        <w:numPr>
          <w:ilvl w:val="0"/>
          <w:numId w:val="1001"/>
        </w:numPr>
        <w:pStyle w:val="Compact"/>
      </w:pPr>
      <w:r>
        <w:t xml:space="preserve">To assess the current state of auditor independence, technical competence, and ethical adherence among Jakarta-based auditors (KAPs and internal audit teams).</w:t>
      </w:r>
    </w:p>
    <w:p>
      <w:pPr>
        <w:numPr>
          <w:ilvl w:val="0"/>
          <w:numId w:val="1001"/>
        </w:numPr>
        <w:pStyle w:val="Compact"/>
      </w:pPr>
      <w:r>
        <w:t xml:space="preserve">To identify sector-specific challenges faced by the Auditor in Jakarta’s key industries: banking (e.g., BCA, Mandiri HQs), fintech (e.g., GoTo Group), and manufacturing SMEs.</w:t>
      </w:r>
    </w:p>
    <w:p>
      <w:pPr>
        <w:numPr>
          <w:ilvl w:val="0"/>
          <w:numId w:val="1001"/>
        </w:numPr>
        <w:pStyle w:val="Compact"/>
      </w:pPr>
      <w:r>
        <w:t xml:space="preserve">To evaluate the effectiveness of Indonesia’s regulatory mechanisms (PSAK, OJK Circulars) in supporting auditor accountability within Jakarta’s market dynamics.</w:t>
      </w:r>
    </w:p>
    <w:p>
      <w:pPr>
        <w:numPr>
          <w:ilvl w:val="0"/>
          <w:numId w:val="1001"/>
        </w:numPr>
        <w:pStyle w:val="Compact"/>
      </w:pPr>
      <w:r>
        <w:t xml:space="preserve">To develop a localized framework for enhancing Auditor professionalism, tailored to Indonesia Jakarta’s infrastructure, cultural norms, and economic pressures.</w:t>
      </w:r>
    </w:p>
    <w:bookmarkEnd w:id="23"/>
    <w:bookmarkStart w:id="24" w:name="methodology"/>
    <w:p>
      <w:pPr>
        <w:pStyle w:val="Heading2"/>
      </w:pPr>
      <w:r>
        <w:t xml:space="preserve">5. Methodology</w:t>
      </w:r>
    </w:p>
    <w:p>
      <w:pPr>
        <w:pStyle w:val="FirstParagraph"/>
      </w:pPr>
      <w:r>
        <w:t xml:space="preserve">This mixed-methods study will employ triangulation for robustness. Phase 1: Quantitative analysis of 300+ audit reports from Jakarta-based KAPs (2019–2023) to identify trends in material misstatements, independence breaches, and industry-specific risks. Phase 2: Qualitative depth interviews with 45 key informants—including 15 senior auditors at top Jakarta KAPs (e.g., PwC Indonesia, BDO), OJK supervisors in Jakarta, and finance directors of JAKARTA-listed companies (IDX). Phase 3: Focus groups with auditor training institutions (e.g., Ikatan Akuntan Indonesia’s Jakarta chapter) to co-design competency modules. All data collection will prioritize Indonesia Jakarta contexts—accounting for local language nuances, business protocols, and geographic clusters. Ethical approval will be sought from Universitas Gadjah Mada’s Research Ethics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aims to deliver four tangible outcomes: (1) A Jakarta-specific audit risk assessment matrix categorizing sectors by vulnerability (e.g., high-risk fintech vs. stable manufacturing), (2) Evidence-based recommendations for OJK to refine supervision protocols in Indonesia Jakarta, (3) A training toolkit for auditors addressing digital audit tools and conflict-of-interest mitigation, and (4) Policy briefs for the Indonesian Ministry of Finance. The significance is multi-layered: For</w:t>
      </w:r>
      <w:r>
        <w:t xml:space="preserve"> </w:t>
      </w:r>
      <w:r>
        <w:rPr>
          <w:bCs/>
          <w:b/>
        </w:rPr>
        <w:t xml:space="preserve">Auditor</w:t>
      </w:r>
      <w:r>
        <w:t xml:space="preserve">s in Jakarta, it offers practical frameworks to navigate local pressures; for Indonesian regulators, it provides data-driven policy levers; and for Jakarta’s economy, it strengthens investor trust essential to ASEAN’s financial hub. Ultimately, this research positions Indonesia Jakarta as a model for emerging markets balancing growth with accountability.</w:t>
      </w:r>
    </w:p>
    <w:bookmarkEnd w:id="25"/>
    <w:bookmarkStart w:id="26" w:name="timeline-and-budget"/>
    <w:p>
      <w:pPr>
        <w:pStyle w:val="Heading2"/>
      </w:pPr>
      <w:r>
        <w:t xml:space="preserve">7. Timeline and Budget</w:t>
      </w:r>
    </w:p>
    <w:p>
      <w:pPr>
        <w:pStyle w:val="FirstParagraph"/>
      </w:pPr>
      <w:r>
        <w:t xml:space="preserve">The 18-month project will commence in Q1 2025: Months 1–3 (literature review/data collection), Months 4–10 (fieldwork/analysis), Months 11–15 (framework development), and Months 16–18 (dissemination). A budget of IDR 897 million ($57,000) covers researcher salaries, travel for Jakarta-based fieldwork (avoiding international flights to stay cost-effective), software licenses for data analysis, and stakeholder workshops in Jakarta. Funding will be sought from the Ministry of Finance’s Research Directorate and international partners like the World Bank’s Indonesia Governance Program.</w:t>
      </w:r>
    </w:p>
    <w:bookmarkEnd w:id="26"/>
    <w:bookmarkStart w:id="27" w:name="conclusion"/>
    <w:p>
      <w:pPr>
        <w:pStyle w:val="Heading2"/>
      </w:pPr>
      <w:r>
        <w:t xml:space="preserve">8. Conclusion</w:t>
      </w:r>
    </w:p>
    <w:p>
      <w:pPr>
        <w:pStyle w:val="FirstParagraph"/>
      </w:pPr>
      <w:r>
        <w:t xml:space="preserve">As Indonesia accelerates its economic integration into global value chains, the credibility of financial reporting—orchestrated by the</w:t>
      </w:r>
      <w:r>
        <w:t xml:space="preserve"> </w:t>
      </w:r>
      <w:r>
        <w:rPr>
          <w:bCs/>
          <w:b/>
        </w:rPr>
        <w:t xml:space="preserve">Auditor</w:t>
      </w:r>
      <w:r>
        <w:t xml:space="preserve">—is non-negotiable. Jakarta’s status as Indonesia's business nerve center makes it the ideal laboratory for this research. This</w:t>
      </w:r>
      <w:r>
        <w:t xml:space="preserve"> </w:t>
      </w:r>
      <w:r>
        <w:rPr>
          <w:bCs/>
          <w:b/>
        </w:rPr>
        <w:t xml:space="preserve">Research Proposal</w:t>
      </w:r>
      <w:r>
        <w:t xml:space="preserve"> </w:t>
      </w:r>
      <w:r>
        <w:t xml:space="preserve">directly responds to Indonesia Jakarta’s urgent need for auditors who are not only technically adept but culturally attuned and ethically resolute. By grounding solutions in local realities, we can transform the Auditor from a compliance function into a strategic guardian of Indonesia's economic future. The success of this study will resonate beyond Jakarta, offering a replicable blueprint for emerging economies navigating the tension between growth and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Accountability in Indonesia Jakarta</dc:title>
  <dc:creator/>
  <dc:language>en</dc:language>
  <cp:keywords/>
  <dcterms:created xsi:type="dcterms:W3CDTF">2026-07-23T01:20:55Z</dcterms:created>
  <dcterms:modified xsi:type="dcterms:W3CDTF">2026-07-23T01:20:55Z</dcterms:modified>
</cp:coreProperties>
</file>

<file path=docProps/custom.xml><?xml version="1.0" encoding="utf-8"?>
<Properties xmlns="http://schemas.openxmlformats.org/officeDocument/2006/custom-properties" xmlns:vt="http://schemas.openxmlformats.org/officeDocument/2006/docPropsVTypes"/>
</file>