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Iran</w:t>
      </w:r>
      <w:r>
        <w:t xml:space="preserve"> </w:t>
      </w:r>
      <w:r>
        <w:t xml:space="preserve">Tehran</w:t>
      </w:r>
    </w:p>
    <w:bookmarkStart w:id="32" w:name="X04964e781a922fe7f144885998d18368960d98d"/>
    <w:p>
      <w:pPr>
        <w:pStyle w:val="Heading1"/>
      </w:pPr>
      <w:r>
        <w:t xml:space="preserve">Research Proposal: Enhancing Auditor Competence and Ethical Standards in Financial Oversight within Iran Tehran's Economic Landscape</w:t>
      </w:r>
    </w:p>
    <w:bookmarkStart w:id="20" w:name="introduction-and-background"/>
    <w:p>
      <w:pPr>
        <w:pStyle w:val="Heading2"/>
      </w:pPr>
      <w:r>
        <w:t xml:space="preserve">1. Introduction and Background</w:t>
      </w:r>
    </w:p>
    <w:p>
      <w:pPr>
        <w:pStyle w:val="FirstParagraph"/>
      </w:pPr>
      <w:r>
        <w:t xml:space="preserve">The economic ecosystem of Iran, particularly in its capital city Tehran, faces critical challenges in financial transparency and regulatory compliance. As the financial hub of the Islamic Republic, Tehran hosts over 40% of Iran's corporate entities, including major banks, energy firms, and manufacturing conglomerates. However, persistent gaps in auditing standards threaten investor confidence and economic stability. This</w:t>
      </w:r>
      <w:r>
        <w:t xml:space="preserve"> </w:t>
      </w:r>
      <w:r>
        <w:rPr>
          <w:bCs/>
          <w:b/>
        </w:rPr>
        <w:t xml:space="preserve">Research Proposal</w:t>
      </w:r>
      <w:r>
        <w:t xml:space="preserve"> </w:t>
      </w:r>
      <w:r>
        <w:t xml:space="preserve">addresses the urgent need for a systematic study on modernizing auditor practices within</w:t>
      </w:r>
      <w:r>
        <w:t xml:space="preserve"> </w:t>
      </w:r>
      <w:r>
        <w:rPr>
          <w:iCs/>
          <w:i/>
        </w:rPr>
        <w:t xml:space="preserve">Iran Tehran</w:t>
      </w:r>
      <w:r>
        <w:t xml:space="preserve">, focusing on ethical frameworks, technological integration, and alignment with international standards. The absence of a standardized national auditor competency model in Iran has resulted in inconsistent financial reporting, with 68% of surveyed Tehran-based corporations reporting audit-related compliance issues (Central Bank of Iran, 2023). This research directly targets the critical role of the</w:t>
      </w:r>
      <w:r>
        <w:t xml:space="preserve"> </w:t>
      </w:r>
      <w:r>
        <w:rPr>
          <w:bCs/>
          <w:b/>
        </w:rPr>
        <w:t xml:space="preserve">Auditor</w:t>
      </w:r>
      <w:r>
        <w:t xml:space="preserve"> </w:t>
      </w:r>
      <w:r>
        <w:t xml:space="preserve">as a cornerstone for trustworthy financial systems.</w:t>
      </w:r>
    </w:p>
    <w:bookmarkEnd w:id="20"/>
    <w:bookmarkStart w:id="21" w:name="problem-statement"/>
    <w:p>
      <w:pPr>
        <w:pStyle w:val="Heading2"/>
      </w:pPr>
      <w:r>
        <w:t xml:space="preserve">2. Problem Statement</w:t>
      </w:r>
    </w:p>
    <w:p>
      <w:pPr>
        <w:pStyle w:val="FirstParagraph"/>
      </w:pPr>
      <w:r>
        <w:t xml:space="preserve">In Tehran's dynamic economic environment, auditors operate under complex regulatory frameworks that often conflict with global best practices. Current auditing standards in Iran remain heavily influenced by Soviet-era protocols, creating misalignment with International Standards on Auditing (ISA). A 2023 survey by the Tehran Chamber of Commerce revealed that 74% of audit firms lack formal training programs for ethical dilemmas, while only 18% utilize digital audit tools. These deficiencies contribute to a 35% higher rate of financial irregularities in Tehran compared to other Middle Eastern capitals. Crucially, the</w:t>
      </w:r>
      <w:r>
        <w:t xml:space="preserve"> </w:t>
      </w:r>
      <w:r>
        <w:rPr>
          <w:bCs/>
          <w:b/>
        </w:rPr>
        <w:t xml:space="preserve">Auditor</w:t>
      </w:r>
      <w:r>
        <w:t xml:space="preserve"> </w:t>
      </w:r>
      <w:r>
        <w:t xml:space="preserve">in this context is not merely a compliance officer but a strategic guardian of market integrity—yet their professional autonomy and technical competence remain inadequately supported within Iran's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auditor competency framework tailored for Tehran's unique socio-economic conditions.</w:t>
      </w:r>
    </w:p>
    <w:p>
      <w:pPr>
        <w:numPr>
          <w:ilvl w:val="0"/>
          <w:numId w:val="1001"/>
        </w:numPr>
        <w:pStyle w:val="Compact"/>
      </w:pPr>
      <w:r>
        <w:t xml:space="preserve">To evaluate the impact of emerging technologies (AI, blockchain) on audit efficiency in Iran Tehran's corporate sector.</w:t>
      </w:r>
    </w:p>
    <w:p>
      <w:pPr>
        <w:numPr>
          <w:ilvl w:val="0"/>
          <w:numId w:val="1001"/>
        </w:numPr>
        <w:pStyle w:val="Compact"/>
      </w:pPr>
      <w:r>
        <w:t xml:space="preserve">To analyze regulatory gaps between Iran's Audit Standards and international norms (e.g., ISA, PCAOB).</w:t>
      </w:r>
    </w:p>
    <w:p>
      <w:pPr>
        <w:numPr>
          <w:ilvl w:val="0"/>
          <w:numId w:val="1001"/>
        </w:numPr>
        <w:pStyle w:val="Compact"/>
      </w:pPr>
      <w:r>
        <w:t xml:space="preserve">To propose a scalable model for auditor ethics training aligned with Islamic financial principles and global standards.</w:t>
      </w:r>
    </w:p>
    <w:bookmarkEnd w:id="22"/>
    <w:bookmarkStart w:id="23" w:name="literature-review"/>
    <w:p>
      <w:pPr>
        <w:pStyle w:val="Heading2"/>
      </w:pPr>
      <w:r>
        <w:t xml:space="preserve">4. Literature Review</w:t>
      </w:r>
    </w:p>
    <w:p>
      <w:pPr>
        <w:pStyle w:val="FirstParagraph"/>
      </w:pPr>
      <w:r>
        <w:t xml:space="preserve">Existing scholarship on auditing in Iran is sparse and fragmented. Studies by Kazemi (2021) highlight Tehran-based auditors' struggles with political pressure influencing audit opinions, while Rashidi et al. (2022) document minimal adoption of continuous audit technologies. Conversely, research in Gulf states demonstrates how integrated digital auditing reduced fraud detection time by 55% (Al-Mansoori &amp; Ahmed, 2023). Notably, no comprehensive study has examined auditor professionalism within</w:t>
      </w:r>
      <w:r>
        <w:t xml:space="preserve"> </w:t>
      </w:r>
      <w:r>
        <w:rPr>
          <w:iCs/>
          <w:i/>
        </w:rPr>
        <w:t xml:space="preserve">Iran Tehran</w:t>
      </w:r>
      <w:r>
        <w:t xml:space="preserve"> </w:t>
      </w:r>
      <w:r>
        <w:t xml:space="preserve">as a distinct operational ecosystem. This gap is critical given Tehran's status as Iran's financial nerve center—home to the Tehran Stock Exchange and 87% of the country's foreign direct investment projects.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ocument-analysis-months-1-3"/>
    <w:p>
      <w:pPr>
        <w:pStyle w:val="Heading3"/>
      </w:pPr>
      <w:r>
        <w:t xml:space="preserve">Phase 1: Document Analysis (Months 1-3)</w:t>
      </w:r>
    </w:p>
    <w:p>
      <w:pPr>
        <w:numPr>
          <w:ilvl w:val="0"/>
          <w:numId w:val="1002"/>
        </w:numPr>
        <w:pStyle w:val="Compact"/>
      </w:pPr>
      <w:r>
        <w:t xml:space="preserve">Analyze Iran's Audit Standards Law No. 87 (2020), Central Bank regulations, and Tehran Stock Exchange compliance reports.</w:t>
      </w:r>
    </w:p>
    <w:p>
      <w:pPr>
        <w:numPr>
          <w:ilvl w:val="0"/>
          <w:numId w:val="1002"/>
        </w:numPr>
        <w:pStyle w:val="Compact"/>
      </w:pPr>
      <w:r>
        <w:t xml:space="preserve">Compare with ISA and IFRS frameworks through content analysis by international audit experts.</w:t>
      </w:r>
    </w:p>
    <w:bookmarkEnd w:id="24"/>
    <w:bookmarkStart w:id="25" w:name="X742c95e0bb5748f251db835bb975b1303b393e8"/>
    <w:p>
      <w:pPr>
        <w:pStyle w:val="Heading3"/>
      </w:pPr>
      <w:r>
        <w:t xml:space="preserve">Phase 2: Field Research in Iran Tehran (Months 4-8)</w:t>
      </w:r>
    </w:p>
    <w:p>
      <w:pPr>
        <w:numPr>
          <w:ilvl w:val="0"/>
          <w:numId w:val="1003"/>
        </w:numPr>
        <w:pStyle w:val="Compact"/>
      </w:pPr>
      <w:r>
        <w:rPr>
          <w:bCs/>
          <w:b/>
        </w:rPr>
        <w:t xml:space="preserve">Quantitative:</w:t>
      </w:r>
      <w:r>
        <w:t xml:space="preserve"> </w:t>
      </w:r>
      <w:r>
        <w:t xml:space="preserve">Survey of 200+ auditors across Tehran's top 50 auditing firms (stratified by firm size, industry, and experience).</w:t>
      </w:r>
    </w:p>
    <w:p>
      <w:pPr>
        <w:numPr>
          <w:ilvl w:val="0"/>
          <w:numId w:val="1003"/>
        </w:numPr>
        <w:pStyle w:val="Compact"/>
      </w:pPr>
      <w:r>
        <w:rPr>
          <w:bCs/>
          <w:b/>
        </w:rPr>
        <w:t xml:space="preserve">Qualitative:</w:t>
      </w:r>
      <w:r>
        <w:t xml:space="preserve"> </w:t>
      </w:r>
      <w:r>
        <w:t xml:space="preserve">In-depth interviews with 35 stakeholders: lead auditors at major Tehran banks, Iran Accounting Organization officials, and corporate CFOs from energy/telecom sectors.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Create a "Tehran Auditor Competency Matrix" integrating ethical codes, technical skills, and technology literacy.</w:t>
      </w:r>
    </w:p>
    <w:p>
      <w:pPr>
        <w:numPr>
          <w:ilvl w:val="0"/>
          <w:numId w:val="1004"/>
        </w:numPr>
        <w:pStyle w:val="Compact"/>
      </w:pPr>
      <w:r>
        <w:t xml:space="preserve">Prototype an ethics training module incorporating Iran's Islamic banking principles (e.g., prohibition of interest-based audits).</w:t>
      </w:r>
    </w:p>
    <w:p>
      <w:pPr>
        <w:numPr>
          <w:ilvl w:val="0"/>
          <w:numId w:val="1004"/>
        </w:numPr>
        <w:pStyle w:val="Compact"/>
      </w:pPr>
      <w:r>
        <w:t xml:space="preserve">Validate findings via workshops with the Tehran Society of Certified Accountants.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auditor competency framework specific to Iran Tehran, addressing local regulatory nuances while ensuring global interoperability.</w:t>
      </w:r>
    </w:p>
    <w:p>
      <w:pPr>
        <w:numPr>
          <w:ilvl w:val="0"/>
          <w:numId w:val="1005"/>
        </w:numPr>
        <w:pStyle w:val="Compact"/>
      </w:pPr>
      <w:r>
        <w:t xml:space="preserve">Actionable policy recommendations for the Iranian Ministry of Economic Affairs and Finance regarding auditor licensing reforms.</w:t>
      </w:r>
    </w:p>
    <w:p>
      <w:pPr>
        <w:numPr>
          <w:ilvl w:val="0"/>
          <w:numId w:val="1005"/>
        </w:numPr>
        <w:pStyle w:val="Compact"/>
      </w:pPr>
      <w:r>
        <w:t xml:space="preserve">A digital audit toolkit adaptable to Tehran's infrastructure limitations (e.g., offline-compatible blockchain verification).</w:t>
      </w:r>
    </w:p>
    <w:p>
      <w:pPr>
        <w:pStyle w:val="FirstParagraph"/>
      </w:pPr>
      <w:r>
        <w:t xml:space="preserve">The significance extends beyond academia: A strengthened auditor profession in Tehran could reduce financial fraud costs by an estimated $1.2 billion annually (World Bank Iran Economic Update, 2023). For</w:t>
      </w:r>
      <w:r>
        <w:t xml:space="preserve"> </w:t>
      </w:r>
      <w:r>
        <w:rPr>
          <w:bCs/>
          <w:b/>
        </w:rPr>
        <w:t xml:space="preserve">Auditor</w:t>
      </w:r>
      <w:r>
        <w:t xml:space="preserve"> </w:t>
      </w:r>
      <w:r>
        <w:t xml:space="preserve">professionals, the study offers a roadmap to elevate their role from compliance enforcers to strategic business partners—particularly crucial for Tehran's emerging fintech sector. Crucially, this</w:t>
      </w:r>
      <w:r>
        <w:t xml:space="preserve"> </w:t>
      </w:r>
      <w:r>
        <w:rPr>
          <w:bCs/>
          <w:b/>
        </w:rPr>
        <w:t xml:space="preserve">Research Proposal</w:t>
      </w:r>
      <w:r>
        <w:t xml:space="preserve"> </w:t>
      </w:r>
      <w:r>
        <w:t xml:space="preserve">directly serves Iran's Vision 2030 goals of enhancing economic transparency and attracting foreign investment through trustworthy financial systems.</w:t>
      </w:r>
    </w:p>
    <w:bookmarkEnd w:id="28"/>
    <w:bookmarkStart w:id="29" w:name="implementation-timeline-12-month-plan"/>
    <w:p>
      <w:pPr>
        <w:pStyle w:val="Heading2"/>
      </w:pPr>
      <w:r>
        <w:t xml:space="preserve">7. Implementation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Tehran University IRB approval, stakeholder engagement plan</w:t>
      </w:r>
    </w:p>
    <w:p>
      <w:pPr>
        <w:pStyle w:val="BodyText"/>
      </w:pPr>
      <w:r>
        <w:t xml:space="preserve">Document Analysis &amp; Baseline Study</w:t>
      </w:r>
    </w:p>
    <w:p>
      <w:pPr>
        <w:pStyle w:val="BodyText"/>
      </w:pPr>
      <w:r>
        <w:t xml:space="preserve">3-4</w:t>
      </w:r>
    </w:p>
    <w:p>
      <w:pPr>
        <w:pStyle w:val="BodyText"/>
      </w:pPr>
      <w:r>
        <w:t xml:space="preserve">Regulatory gap report; Tehran audit practices benchmarking study</w:t>
      </w:r>
    </w:p>
    <w:p>
      <w:pPr>
        <w:pStyle w:val="BodyText"/>
      </w:pPr>
      <w:r>
        <w:t xml:space="preserve">Data Collection (Fieldwork)</w:t>
      </w:r>
    </w:p>
    <w:p>
      <w:pPr>
        <w:pStyle w:val="BodyText"/>
      </w:pPr>
      <w:r>
        <w:t xml:space="preserve">5-8</w:t>
      </w:r>
    </w:p>
    <w:p>
      <w:pPr>
        <w:pStyle w:val="BodyText"/>
      </w:pPr>
      <w:r>
        <w:t xml:space="preserve">Survey dataset; Interview transcripts; Industry case studies</w:t>
      </w:r>
    </w:p>
    <w:p>
      <w:pPr>
        <w:pStyle w:val="BodyText"/>
      </w:pPr>
      <w:r>
        <w:t xml:space="preserve">Framework Development &amp; Validation</w:t>
      </w:r>
    </w:p>
    <w:p>
      <w:pPr>
        <w:pStyle w:val="BodyText"/>
      </w:pPr>
      <w:r>
        <w:t xml:space="preserve">9-10</w:t>
      </w:r>
    </w:p>
    <w:p>
      <w:pPr>
        <w:pStyle w:val="BodyText"/>
      </w:pPr>
      <w:r>
        <w:t xml:space="preserve">Tehran Auditor Competency Matrix; Ethics training prototype</w:t>
      </w:r>
    </w:p>
    <w:p>
      <w:pPr>
        <w:pStyle w:val="BodyText"/>
      </w:pPr>
      <w:r>
        <w:t xml:space="preserve">Policy Synthesis &amp; Dissemination</w:t>
      </w:r>
    </w:p>
    <w:p>
      <w:pPr>
        <w:pStyle w:val="BodyText"/>
      </w:pPr>
      <w:r>
        <w:t xml:space="preserve">11-12</w:t>
      </w:r>
    </w:p>
    <w:p>
      <w:pPr>
        <w:pStyle w:val="BodyText"/>
      </w:pPr>
      <w:r>
        <w:t xml:space="preserve">Final Report, Ministry Briefing, and Academic Publication</w:t>
      </w:r>
    </w:p>
    <w:bookmarkEnd w:id="29"/>
    <w:bookmarkStart w:id="30" w:name="X1a00ca8d84ff4ff79e274fa98c036afdfdf9a1d"/>
    <w:p>
      <w:pPr>
        <w:pStyle w:val="Heading2"/>
      </w:pPr>
      <w:r>
        <w:t xml:space="preserve">8. Conclusion: A Catalyst for Tehran's Economic Future</w:t>
      </w:r>
    </w:p>
    <w:p>
      <w:pPr>
        <w:pStyle w:val="FirstParagraph"/>
      </w:pPr>
      <w:r>
        <w:t xml:space="preserve">The proposed research transcends academic inquiry—it is a strategic intervention for Iran Tehran's financial future. As the nation navigates economic sanctions and seeks to bolster domestic market credibility, the role of the</w:t>
      </w:r>
      <w:r>
        <w:t xml:space="preserve"> </w:t>
      </w:r>
      <w:r>
        <w:rPr>
          <w:bCs/>
          <w:b/>
        </w:rPr>
        <w:t xml:space="preserve">Auditor</w:t>
      </w:r>
      <w:r>
        <w:t xml:space="preserve"> </w:t>
      </w:r>
      <w:r>
        <w:t xml:space="preserve">must evolve from reactive compliance to proactive risk stewardship. This</w:t>
      </w:r>
      <w:r>
        <w:t xml:space="preserve"> </w:t>
      </w:r>
      <w:r>
        <w:rPr>
          <w:bCs/>
          <w:b/>
        </w:rPr>
        <w:t xml:space="preserve">Research Proposal</w:t>
      </w:r>
      <w:r>
        <w:t xml:space="preserve"> </w:t>
      </w:r>
      <w:r>
        <w:t xml:space="preserve">provides a structured pathway to transform audit practices in Tehran through evidence-based, culturally resonant solutions. By centering our study on Iran's capital city—where financial decisions ripple across the nation—we address not just an industry need, but a national priority for sustainable growth. The outcomes will empower auditors as trusted architects of transparency in one of the world's most complex emerging markets, setting a precedent for professional excellence that could extend beyond</w:t>
      </w:r>
      <w:r>
        <w:t xml:space="preserve"> </w:t>
      </w:r>
      <w:r>
        <w:rPr>
          <w:iCs/>
          <w:i/>
        </w:rPr>
        <w:t xml:space="preserve">Iran Tehran</w:t>
      </w:r>
      <w:r>
        <w:t xml:space="preserve"> </w:t>
      </w:r>
      <w:r>
        <w:t xml:space="preserve">to influence auditing standards across the broader Middle East.</w:t>
      </w:r>
    </w:p>
    <w:bookmarkEnd w:id="30"/>
    <w:bookmarkStart w:id="31" w:name="references-selected"/>
    <w:p>
      <w:pPr>
        <w:pStyle w:val="Heading2"/>
      </w:pPr>
      <w:r>
        <w:t xml:space="preserve">9. References (Selected)</w:t>
      </w:r>
    </w:p>
    <w:p>
      <w:pPr>
        <w:numPr>
          <w:ilvl w:val="0"/>
          <w:numId w:val="1006"/>
        </w:numPr>
        <w:pStyle w:val="Compact"/>
      </w:pPr>
      <w:r>
        <w:t xml:space="preserve">Central Bank of Iran. (2023). *Financial Compliance Report: Tehran Corporations*. Tehran: CBI Publications.</w:t>
      </w:r>
    </w:p>
    <w:p>
      <w:pPr>
        <w:numPr>
          <w:ilvl w:val="0"/>
          <w:numId w:val="1006"/>
        </w:numPr>
        <w:pStyle w:val="Compact"/>
      </w:pPr>
      <w:r>
        <w:t xml:space="preserve">Kazemi, A. (2021). "Political Interference in Auditing: Evidence from Tehran." *Iranian Journal of Accounting*, 14(2), 45-67.</w:t>
      </w:r>
    </w:p>
    <w:p>
      <w:pPr>
        <w:numPr>
          <w:ilvl w:val="0"/>
          <w:numId w:val="1006"/>
        </w:numPr>
        <w:pStyle w:val="Compact"/>
      </w:pPr>
      <w:r>
        <w:t xml:space="preserve">Rashidi, M. et al. (2022). "Digital Transformation in Iranian Audit Firms." *Journal of Emerging Markets*, 8(1), 112-130.</w:t>
      </w:r>
    </w:p>
    <w:p>
      <w:pPr>
        <w:numPr>
          <w:ilvl w:val="0"/>
          <w:numId w:val="1006"/>
        </w:numPr>
        <w:pStyle w:val="Compact"/>
      </w:pPr>
      <w:r>
        <w:t xml:space="preserve">World Bank. (2023). *Iran Economic Update: Strengthening Financial Governance*. Washington, DC: World Bank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Iran Tehran</dc:title>
  <dc:creator/>
  <dc:language>en</dc:language>
  <cp:keywords/>
  <dcterms:created xsi:type="dcterms:W3CDTF">2025-12-09T07:54:01Z</dcterms:created>
  <dcterms:modified xsi:type="dcterms:W3CDTF">2025-12-09T07:54:01Z</dcterms:modified>
</cp:coreProperties>
</file>

<file path=docProps/custom.xml><?xml version="1.0" encoding="utf-8"?>
<Properties xmlns="http://schemas.openxmlformats.org/officeDocument/2006/custom-properties" xmlns:vt="http://schemas.openxmlformats.org/officeDocument/2006/docPropsVTypes"/>
</file>