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Auditor</w:t>
      </w:r>
      <w:r>
        <w:t xml:space="preserve"> </w:t>
      </w:r>
      <w:r>
        <w:t xml:space="preserve">Effectiveness</w:t>
      </w:r>
      <w:r>
        <w:t xml:space="preserve"> </w:t>
      </w:r>
      <w:r>
        <w:t xml:space="preserve">in</w:t>
      </w:r>
      <w:r>
        <w:t xml:space="preserve"> </w:t>
      </w:r>
      <w:r>
        <w:t xml:space="preserve">Iraq</w:t>
      </w:r>
      <w:r>
        <w:t xml:space="preserve"> </w:t>
      </w:r>
      <w:r>
        <w:t xml:space="preserve">Baghdad's</w:t>
      </w:r>
      <w:r>
        <w:t xml:space="preserve"> </w:t>
      </w:r>
      <w:r>
        <w:t xml:space="preserve">Public</w:t>
      </w:r>
      <w:r>
        <w:t xml:space="preserve"> </w:t>
      </w:r>
      <w:r>
        <w:t xml:space="preserve">Sector</w:t>
      </w:r>
    </w:p>
    <w:bookmarkStart w:id="31" w:name="Xe187095831e657e3379656abd894369f47a5946"/>
    <w:p>
      <w:pPr>
        <w:pStyle w:val="Heading1"/>
      </w:pPr>
      <w:r>
        <w:t xml:space="preserve">Research Proposal: Enhancing Financial Accountability through Strategic Auditor Development in Baghdad, Iraq</w:t>
      </w:r>
    </w:p>
    <w:bookmarkStart w:id="20" w:name="X7d3939d1cb50b011ead4b259c6cfaeceee61e46"/>
    <w:p>
      <w:pPr>
        <w:pStyle w:val="Heading2"/>
      </w:pPr>
      <w:r>
        <w:t xml:space="preserve">I. Introduction and Contextual Background</w:t>
      </w:r>
    </w:p>
    <w:p>
      <w:pPr>
        <w:pStyle w:val="FirstParagraph"/>
      </w:pPr>
      <w:r>
        <w:t xml:space="preserve">In the dynamic socio-economic landscape of post-conflict Iraq, Baghdad stands as both the political epicenter and a critical test case for institutional reform. The Iraqi government faces persistent challenges in public financial management, including systemic corruption, inefficient resource allocation, and weak accountability mechanisms. Central to addressing these issues is the role of the</w:t>
      </w:r>
      <w:r>
        <w:t xml:space="preserve"> </w:t>
      </w:r>
      <w:r>
        <w:rPr>
          <w:bCs/>
          <w:b/>
        </w:rPr>
        <w:t xml:space="preserve">Auditor</w:t>
      </w:r>
      <w:r>
        <w:t xml:space="preserve">, whose function extends beyond transaction verification to safeguarding national resources and fostering trust in governance. However, Iraq's auditing framework remains fragmented across multiple institutions (e.g., Supreme Audit Institution, Ministry of Finance audit units), operating within a context marked by political volatility, limited technical capacity, and insufficient legal empowerment. This research proposal addresses a critical gap: the lack of context-specific evidence on how to optimize the</w:t>
      </w:r>
      <w:r>
        <w:t xml:space="preserve"> </w:t>
      </w:r>
      <w:r>
        <w:rPr>
          <w:bCs/>
          <w:b/>
        </w:rPr>
        <w:t xml:space="preserve">Auditor</w:t>
      </w:r>
      <w:r>
        <w:t xml:space="preserve">'s role in Baghdad's unique environment. With public expenditure representing over 60% of Iraq's GDP and significant donor aid flows (exceeding $2 billion annually), ineffective auditing directly threatens economic stability and service delivery for Baghdad's 8 million residents. This study will rigorously investigate practical pathways to transform the Auditor function from a compliance-driven activity into a strategic governance catalyst within Iraq Baghdad.</w:t>
      </w:r>
    </w:p>
    <w:bookmarkEnd w:id="20"/>
    <w:bookmarkStart w:id="21" w:name="ii.-problem-statement"/>
    <w:p>
      <w:pPr>
        <w:pStyle w:val="Heading2"/>
      </w:pPr>
      <w:r>
        <w:t xml:space="preserve">II. Problem Statement</w:t>
      </w:r>
    </w:p>
    <w:p>
      <w:pPr>
        <w:pStyle w:val="FirstParagraph"/>
      </w:pPr>
      <w:r>
        <w:t xml:space="preserve">Current auditing practices in Baghdad's public institutions suffer from three interconnected weaknesses: (1)</w:t>
      </w:r>
      <w:r>
        <w:t xml:space="preserve"> </w:t>
      </w:r>
      <w:r>
        <w:rPr>
          <w:iCs/>
          <w:i/>
        </w:rPr>
        <w:t xml:space="preserve">Operational constraints</w:t>
      </w:r>
      <w:r>
        <w:t xml:space="preserve">: Auditors lack independence due to political interference, inadequate resources, and outdated methodologies; (2)</w:t>
      </w:r>
      <w:r>
        <w:t xml:space="preserve"> </w:t>
      </w:r>
      <w:r>
        <w:rPr>
          <w:iCs/>
          <w:i/>
        </w:rPr>
        <w:t xml:space="preserve">Cognitive gaps</w:t>
      </w:r>
      <w:r>
        <w:t xml:space="preserve">: Insufficient training in modern risk-based auditing and fraud detection tailored to Iraq's context; (3)</w:t>
      </w:r>
      <w:r>
        <w:t xml:space="preserve"> </w:t>
      </w:r>
      <w:r>
        <w:rPr>
          <w:iCs/>
          <w:i/>
        </w:rPr>
        <w:t xml:space="preserve">Institutional fragmentation</w:t>
      </w:r>
      <w:r>
        <w:t xml:space="preserve">: Duplicative efforts between federal/central auditors and provincial bodies with no standardized framework. Consequently, audit findings frequently remain unimplemented—evidenced by the World Bank’s 2023 report noting only 17% of recommendations from Iraq's Supreme Audit Institution were actioned in Baghdad during 2020-2023. This failure erodes public trust and allows an estimated $4.8 billion in annual fiscal leakage, disproportionately impacting basic services like healthcare, education, and infrastructure maintenance in Baghdad city centers. Without evidence-based reforms to elevate the</w:t>
      </w:r>
      <w:r>
        <w:t xml:space="preserve"> </w:t>
      </w:r>
      <w:r>
        <w:rPr>
          <w:bCs/>
          <w:b/>
        </w:rPr>
        <w:t xml:space="preserve">Auditor</w:t>
      </w:r>
      <w:r>
        <w:t xml:space="preserve">'s strategic role, Iraq's recovery trajectory will remain vulnerable.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structure, legal authority, and operational challenges of Auditors across key Baghdad institutions (Ministry of Health facilities, Baghdad Governorate Services, Public Works Directorate).</w:t>
      </w:r>
    </w:p>
    <w:p>
      <w:pPr>
        <w:numPr>
          <w:ilvl w:val="0"/>
          <w:numId w:val="1001"/>
        </w:numPr>
        <w:pStyle w:val="Compact"/>
      </w:pPr>
      <w:r>
        <w:t xml:space="preserve">To identify context-specific barriers to Auditor independence and effectiveness through fieldwork with 150+ stakeholders (auditors, finance managers, political officials) in Baghdad.</w:t>
      </w:r>
    </w:p>
    <w:p>
      <w:pPr>
        <w:numPr>
          <w:ilvl w:val="0"/>
          <w:numId w:val="1001"/>
        </w:numPr>
        <w:pStyle w:val="Compact"/>
      </w:pPr>
      <w:r>
        <w:t xml:space="preserve">To evaluate international best practices for Auditor empowerment in fragile states (e.g., Colombia's Fiscal Audit Law, Kenya's Anti-Corruption Auditing Model), adapting them to Iraq Baghdad’s socio-political reality.</w:t>
      </w:r>
    </w:p>
    <w:p>
      <w:pPr>
        <w:numPr>
          <w:ilvl w:val="0"/>
          <w:numId w:val="1001"/>
        </w:numPr>
        <w:pStyle w:val="Compact"/>
      </w:pPr>
      <w:r>
        <w:t xml:space="preserve">To co-develop with Iraqi stakeholders a scalable "Auditor Effectiveness Framework" integrating capacity building, technology adoption (e.g., blockchain for audit trails), and institutional coordination protocols.</w:t>
      </w:r>
    </w:p>
    <w:bookmarkEnd w:id="22"/>
    <w:bookmarkStart w:id="26" w:name="iv.-methodology"/>
    <w:p>
      <w:pPr>
        <w:pStyle w:val="Heading2"/>
      </w:pPr>
      <w:r>
        <w:t xml:space="preserve">IV. Methodology</w:t>
      </w:r>
    </w:p>
    <w:p>
      <w:pPr>
        <w:pStyle w:val="FirstParagraph"/>
      </w:pPr>
      <w:r>
        <w:t xml:space="preserve">This mixed-methods study employs a 12-month phased approach centered in Baghdad:</w:t>
      </w:r>
    </w:p>
    <w:bookmarkStart w:id="23" w:name="phase-1-contextual-analysis-months-1-3"/>
    <w:p>
      <w:pPr>
        <w:pStyle w:val="Heading3"/>
      </w:pPr>
      <w:r>
        <w:t xml:space="preserve">Phase 1: Contextual Analysis (Months 1-3)</w:t>
      </w:r>
    </w:p>
    <w:p>
      <w:pPr>
        <w:numPr>
          <w:ilvl w:val="0"/>
          <w:numId w:val="1002"/>
        </w:numPr>
        <w:pStyle w:val="Compact"/>
      </w:pPr>
      <w:r>
        <w:t xml:space="preserve">Document review of Iraq's Audit Law No. (45) of 2007, Supreme Audit Institution reports, and World Bank/IMF assessments.</w:t>
      </w:r>
    </w:p>
    <w:p>
      <w:pPr>
        <w:numPr>
          <w:ilvl w:val="0"/>
          <w:numId w:val="1002"/>
        </w:numPr>
        <w:pStyle w:val="Compact"/>
      </w:pPr>
      <w:r>
        <w:t xml:space="preserve">Mapping of Baghdad's public financial management ecosystem through stakeholder network analysis.</w:t>
      </w:r>
    </w:p>
    <w:bookmarkEnd w:id="23"/>
    <w:bookmarkStart w:id="24" w:name="Xd85c0e759a7afb410c31f62ab3da67ecb92b660"/>
    <w:p>
      <w:pPr>
        <w:pStyle w:val="Heading3"/>
      </w:pPr>
      <w:r>
        <w:t xml:space="preserve">Phase 2: Primary Data Collection (Months 4-8)</w:t>
      </w:r>
    </w:p>
    <w:p>
      <w:pPr>
        <w:numPr>
          <w:ilvl w:val="0"/>
          <w:numId w:val="1003"/>
        </w:numPr>
        <w:pStyle w:val="Compact"/>
      </w:pPr>
      <w:r>
        <w:rPr>
          <w:bCs/>
          <w:b/>
        </w:rPr>
        <w:t xml:space="preserve">Quantitative:</w:t>
      </w:r>
      <w:r>
        <w:t xml:space="preserve"> </w:t>
      </w:r>
      <w:r>
        <w:t xml:space="preserve">Survey of 120 auditors across Baghdad’s central government units (response rate target: 85%), measuring independence levels, resource adequacy, and perceived barriers.</w:t>
      </w:r>
    </w:p>
    <w:p>
      <w:pPr>
        <w:numPr>
          <w:ilvl w:val="0"/>
          <w:numId w:val="1003"/>
        </w:numPr>
        <w:pStyle w:val="Compact"/>
      </w:pPr>
      <w:r>
        <w:rPr>
          <w:bCs/>
          <w:b/>
        </w:rPr>
        <w:t xml:space="preserve">Qualitative:</w:t>
      </w:r>
      <w:r>
        <w:t xml:space="preserve"> </w:t>
      </w:r>
      <w:r>
        <w:t xml:space="preserve">In-depth interviews with 30 key informants (including Auditor General office leadership, civil society watchdogs like Al-Monitor), focusing on case studies of failed audits and political interference incidents.</w:t>
      </w:r>
    </w:p>
    <w:p>
      <w:pPr>
        <w:numPr>
          <w:ilvl w:val="0"/>
          <w:numId w:val="1003"/>
        </w:numPr>
        <w:pStyle w:val="Compact"/>
      </w:pPr>
      <w:r>
        <w:rPr>
          <w:bCs/>
          <w:b/>
        </w:rPr>
        <w:t xml:space="preserve">Field Observation:</w:t>
      </w:r>
      <w:r>
        <w:t xml:space="preserve"> </w:t>
      </w:r>
      <w:r>
        <w:t xml:space="preserve">Shadowing auditors during fieldwork in Baghdad's municipal projects (e.g., wastewater infrastructure, school construction) to identify real-time operational challenges.</w:t>
      </w:r>
    </w:p>
    <w:bookmarkEnd w:id="24"/>
    <w:bookmarkStart w:id="25" w:name="X5b0e68da77f6060bcdf1cbc72ef9bfd9abed137"/>
    <w:p>
      <w:pPr>
        <w:pStyle w:val="Heading3"/>
      </w:pPr>
      <w:r>
        <w:t xml:space="preserve">Phase 3: Co-Creation and Validation (Months 9-12)</w:t>
      </w:r>
    </w:p>
    <w:p>
      <w:pPr>
        <w:numPr>
          <w:ilvl w:val="0"/>
          <w:numId w:val="1004"/>
        </w:numPr>
        <w:pStyle w:val="Compact"/>
      </w:pPr>
      <w:r>
        <w:t xml:space="preserve">Workshops with Iraqi Ministry of Finance, Supreme Audit Institution, and Baghdad Governorate to refine the Auditor Effectiveness Framework.</w:t>
      </w:r>
    </w:p>
    <w:p>
      <w:pPr>
        <w:numPr>
          <w:ilvl w:val="0"/>
          <w:numId w:val="1004"/>
        </w:numPr>
        <w:pStyle w:val="Compact"/>
      </w:pPr>
      <w:r>
        <w:t xml:space="preserve">Piloting framework components in two Baghdad district offices for 6 months, measuring impact on audit resolution rates and stakeholder trust metrics.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four transformative outputs:</w:t>
      </w:r>
    </w:p>
    <w:p>
      <w:pPr>
        <w:numPr>
          <w:ilvl w:val="0"/>
          <w:numId w:val="1005"/>
        </w:numPr>
        <w:pStyle w:val="Compact"/>
      </w:pPr>
      <w:r>
        <w:rPr>
          <w:bCs/>
          <w:b/>
        </w:rPr>
        <w:t xml:space="preserve">Contextualized Auditor Framework:</w:t>
      </w:r>
      <w:r>
        <w:t xml:space="preserve"> </w:t>
      </w:r>
      <w:r>
        <w:t xml:space="preserve">A Baghdad-specific blueprint integrating legal reforms (e.g., strengthening auditor appointment processes), capacity development modules, and digital tools for real-time financial monitoring.</w:t>
      </w:r>
    </w:p>
    <w:p>
      <w:pPr>
        <w:numPr>
          <w:ilvl w:val="0"/>
          <w:numId w:val="1005"/>
        </w:numPr>
        <w:pStyle w:val="Compact"/>
      </w:pPr>
      <w:r>
        <w:rPr>
          <w:bCs/>
          <w:b/>
        </w:rPr>
        <w:t xml:space="preserve">Evidence-Based Policy Briefs:</w:t>
      </w:r>
      <w:r>
        <w:t xml:space="preserve"> </w:t>
      </w:r>
      <w:r>
        <w:t xml:space="preserve">Targeted recommendations to Iraq’s Council of Ministers on institutionalizing Auditor independence, directly addressing the 2023 UNDP audit reform roadmap.</w:t>
      </w:r>
    </w:p>
    <w:p>
      <w:pPr>
        <w:numPr>
          <w:ilvl w:val="0"/>
          <w:numId w:val="1005"/>
        </w:numPr>
        <w:pStyle w:val="Compact"/>
      </w:pPr>
      <w:r>
        <w:rPr>
          <w:bCs/>
          <w:b/>
        </w:rPr>
        <w:t xml:space="preserve">Capacity Toolkit:</w:t>
      </w:r>
      <w:r>
        <w:t xml:space="preserve"> </w:t>
      </w:r>
      <w:r>
        <w:t xml:space="preserve">Training curriculum for Baghdad auditors covering risk-based auditing, fraud detection in oil revenue management, and ethical decision-making under political pressure—validated through pilot testing.</w:t>
      </w:r>
    </w:p>
    <w:p>
      <w:pPr>
        <w:numPr>
          <w:ilvl w:val="0"/>
          <w:numId w:val="1005"/>
        </w:numPr>
        <w:pStyle w:val="Compact"/>
      </w:pPr>
      <w:r>
        <w:rPr>
          <w:bCs/>
          <w:b/>
        </w:rPr>
        <w:t xml:space="preserve">Social Accountability Mechanism:</w:t>
      </w:r>
      <w:r>
        <w:t xml:space="preserve"> </w:t>
      </w:r>
      <w:r>
        <w:t xml:space="preserve">A community feedback protocol enabling Baghdad citizens to report financial irregularities via SMS, directly linking public grievances to auditor action.</w:t>
      </w:r>
    </w:p>
    <w:p>
      <w:pPr>
        <w:pStyle w:val="FirstParagraph"/>
      </w:pPr>
      <w:r>
        <w:t xml:space="preserve">The significance extends beyond Baghdad: as the world’s 24th largest oil producer with $80 billion in annual revenue, Iraq represents a critical case study for fragile states. A successful Auditor model here could catalyze similar reforms across Iraq and regions facing post-conflict governance challenges (e.g., Afghanistan, Libya). For Baghdad residents, this means tangible improvements—reduced corruption in public service delivery (e.g., cleaner water access from audited infrastructure projects), faster procurement for hospitals, and transparent allocation of funds toward poverty reduction. Crucially, the research centers on</w:t>
      </w:r>
      <w:r>
        <w:t xml:space="preserve"> </w:t>
      </w:r>
      <w:r>
        <w:rPr>
          <w:bCs/>
          <w:b/>
        </w:rPr>
        <w:t xml:space="preserve">Auditor</w:t>
      </w:r>
      <w:r>
        <w:t xml:space="preserve"> </w:t>
      </w:r>
      <w:r>
        <w:t xml:space="preserve">agency: shifting the narrative from "auditors as critics" to "auditors as partners in sustainable development." This aligns with Iraq's national vision (Iraq Vision 2030) which prioritizes transparent governance.</w:t>
      </w:r>
    </w:p>
    <w:bookmarkEnd w:id="27"/>
    <w:bookmarkStart w:id="28" w:name="Xe9a67cd272b16d22facaf89847c10cdf676b77d"/>
    <w:p>
      <w:pPr>
        <w:pStyle w:val="Heading2"/>
      </w:pPr>
      <w:r>
        <w:t xml:space="preserve">VI. Ethical Considerations and Local Engagement</w:t>
      </w:r>
    </w:p>
    <w:p>
      <w:pPr>
        <w:pStyle w:val="FirstParagraph"/>
      </w:pPr>
      <w:r>
        <w:t xml:space="preserve">Conducting research in Baghdad necessitates rigorous ethical protocols. All data collection will obtain informed consent, anonymize vulnerable informants (e.g., whistleblowers), and adhere to Iraqi National Ethics Guidelines for Social Research. The project partners with the Center for Accountability and Integrity (CAI), a Baghdad-based NGO with proven community trust, ensuring local ownership. Gender inclusion is prioritized: at least 40% of survey respondents and interviewees will be female auditors—addressing the current underrepresentation of women (12%) in Iraq's audit workforce.</w:t>
      </w:r>
    </w:p>
    <w:bookmarkEnd w:id="28"/>
    <w:bookmarkStart w:id="29" w:name="vii.-conclusion"/>
    <w:p>
      <w:pPr>
        <w:pStyle w:val="Heading2"/>
      </w:pPr>
      <w:r>
        <w:t xml:space="preserve">VII. Conclusion</w:t>
      </w:r>
    </w:p>
    <w:p>
      <w:pPr>
        <w:pStyle w:val="FirstParagraph"/>
      </w:pPr>
      <w:r>
        <w:t xml:space="preserve">The Auditor in Iraq Baghdad holds unparalleled potential as a linchpin for governance reform. This research proposal moves beyond theoretical analysis to deliver actionable, locally owned solutions for an institution that directly impacts the daily lives of Baghdad’s citizens. By grounding recommendations in Baghdad's specific realities—from its complex political dynamics to its urgent infrastructure needs—the study promises not just academic contribution but measurable progress toward fiscal integrity and public trust. In a city where decades of instability have eroded institutional legitimacy, empowering the</w:t>
      </w:r>
      <w:r>
        <w:t xml:space="preserve"> </w:t>
      </w:r>
      <w:r>
        <w:rPr>
          <w:bCs/>
          <w:b/>
        </w:rPr>
        <w:t xml:space="preserve">Auditor</w:t>
      </w:r>
      <w:r>
        <w:t xml:space="preserve"> </w:t>
      </w:r>
      <w:r>
        <w:t xml:space="preserve">is not merely an accounting necessity; it is a foundational step toward Baghdad’s future as a resilient, accountable urban center. We seek funding to implement this critical research in the heart of Iraq’s capital, where evidence-based reform can transform accountability from an aspiration into tangible reality.</w:t>
      </w:r>
    </w:p>
    <w:bookmarkEnd w:id="29"/>
    <w:bookmarkStart w:id="30" w:name="word-count-897"/>
    <w:p>
      <w:pPr>
        <w:pStyle w:val="Heading2"/>
      </w:pP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Auditor Effectiveness in Iraq Baghdad's Public Sector</dc:title>
  <dc:creator/>
  <dc:language>en</dc:language>
  <cp:keywords/>
  <dcterms:created xsi:type="dcterms:W3CDTF">2026-07-20T20:21:54Z</dcterms:created>
  <dcterms:modified xsi:type="dcterms:W3CDTF">2026-07-20T20:21:54Z</dcterms:modified>
</cp:coreProperties>
</file>

<file path=docProps/custom.xml><?xml version="1.0" encoding="utf-8"?>
<Properties xmlns="http://schemas.openxmlformats.org/officeDocument/2006/custom-properties" xmlns:vt="http://schemas.openxmlformats.org/officeDocument/2006/docPropsVTypes"/>
</file>